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0"/>
        <w:gridCol w:w="1468"/>
        <w:gridCol w:w="1467"/>
        <w:gridCol w:w="734"/>
        <w:gridCol w:w="2203"/>
      </w:tblGrid>
      <w:tr w:rsidR="00252C8D" w14:paraId="7C71E90A" w14:textId="77777777" w:rsidTr="00995680">
        <w:trPr>
          <w:trHeight w:val="88"/>
        </w:trPr>
        <w:tc>
          <w:tcPr>
            <w:tcW w:w="4403" w:type="dxa"/>
            <w:gridSpan w:val="3"/>
          </w:tcPr>
          <w:p w14:paraId="6535B24D" w14:textId="77777777" w:rsidR="00252C8D" w:rsidRDefault="008D20CF">
            <w:pPr>
              <w:pStyle w:val="Default"/>
              <w:rPr>
                <w:sz w:val="20"/>
                <w:szCs w:val="20"/>
              </w:rPr>
            </w:pPr>
            <w:r>
              <w:rPr>
                <w:b/>
                <w:bCs/>
                <w:sz w:val="20"/>
                <w:szCs w:val="20"/>
              </w:rPr>
              <w:t>Course</w:t>
            </w:r>
            <w:r w:rsidR="00DA74D0">
              <w:rPr>
                <w:b/>
                <w:bCs/>
                <w:sz w:val="20"/>
                <w:szCs w:val="20"/>
              </w:rPr>
              <w:t xml:space="preserve"> code</w:t>
            </w:r>
            <w:r w:rsidR="00252C8D">
              <w:rPr>
                <w:b/>
                <w:bCs/>
                <w:sz w:val="20"/>
                <w:szCs w:val="20"/>
              </w:rPr>
              <w:t xml:space="preserve">: FFS5 </w:t>
            </w:r>
          </w:p>
        </w:tc>
        <w:tc>
          <w:tcPr>
            <w:tcW w:w="4404" w:type="dxa"/>
            <w:gridSpan w:val="3"/>
          </w:tcPr>
          <w:p w14:paraId="58061574" w14:textId="77777777" w:rsidR="00252C8D" w:rsidRDefault="008D20CF" w:rsidP="00F210EB">
            <w:pPr>
              <w:pStyle w:val="Default"/>
              <w:rPr>
                <w:sz w:val="20"/>
                <w:szCs w:val="20"/>
              </w:rPr>
            </w:pPr>
            <w:r>
              <w:rPr>
                <w:b/>
                <w:bCs/>
                <w:sz w:val="20"/>
                <w:szCs w:val="20"/>
              </w:rPr>
              <w:t>Course title</w:t>
            </w:r>
            <w:r w:rsidR="00252C8D">
              <w:rPr>
                <w:b/>
                <w:bCs/>
                <w:sz w:val="20"/>
                <w:szCs w:val="20"/>
              </w:rPr>
              <w:t xml:space="preserve">: </w:t>
            </w:r>
            <w:r w:rsidR="00F210EB">
              <w:rPr>
                <w:b/>
                <w:bCs/>
                <w:sz w:val="20"/>
                <w:szCs w:val="20"/>
              </w:rPr>
              <w:t>ANALYTICAL CHEMISTRY</w:t>
            </w:r>
            <w:r w:rsidR="00252C8D">
              <w:rPr>
                <w:b/>
                <w:bCs/>
                <w:sz w:val="20"/>
                <w:szCs w:val="20"/>
              </w:rPr>
              <w:t xml:space="preserve"> I </w:t>
            </w:r>
          </w:p>
        </w:tc>
      </w:tr>
      <w:tr w:rsidR="00252C8D" w14:paraId="2A444184" w14:textId="77777777" w:rsidTr="00995680">
        <w:trPr>
          <w:trHeight w:val="202"/>
        </w:trPr>
        <w:tc>
          <w:tcPr>
            <w:tcW w:w="2235" w:type="dxa"/>
          </w:tcPr>
          <w:p w14:paraId="39062609" w14:textId="77777777" w:rsidR="00252C8D" w:rsidRDefault="008236FF" w:rsidP="008D20CF">
            <w:pPr>
              <w:pStyle w:val="Default"/>
              <w:rPr>
                <w:sz w:val="20"/>
                <w:szCs w:val="20"/>
              </w:rPr>
            </w:pPr>
            <w:r>
              <w:rPr>
                <w:b/>
                <w:bCs/>
                <w:sz w:val="20"/>
                <w:szCs w:val="20"/>
              </w:rPr>
              <w:t>Level</w:t>
            </w:r>
            <w:r w:rsidR="00252C8D">
              <w:rPr>
                <w:b/>
                <w:bCs/>
                <w:sz w:val="20"/>
                <w:szCs w:val="20"/>
              </w:rPr>
              <w:t xml:space="preserve">: </w:t>
            </w:r>
            <w:r>
              <w:rPr>
                <w:b/>
                <w:bCs/>
                <w:sz w:val="20"/>
                <w:szCs w:val="20"/>
              </w:rPr>
              <w:t>Integrated stud</w:t>
            </w:r>
            <w:r w:rsidR="008D20CF">
              <w:rPr>
                <w:b/>
                <w:bCs/>
                <w:sz w:val="20"/>
                <w:szCs w:val="20"/>
              </w:rPr>
              <w:t>ies</w:t>
            </w:r>
            <w:r w:rsidR="00252C8D">
              <w:rPr>
                <w:b/>
                <w:bCs/>
                <w:sz w:val="20"/>
                <w:szCs w:val="20"/>
              </w:rPr>
              <w:t xml:space="preserve"> </w:t>
            </w:r>
          </w:p>
        </w:tc>
        <w:tc>
          <w:tcPr>
            <w:tcW w:w="2168" w:type="dxa"/>
            <w:gridSpan w:val="2"/>
          </w:tcPr>
          <w:p w14:paraId="3BEDF56C" w14:textId="77777777" w:rsidR="00252C8D" w:rsidRDefault="008236FF" w:rsidP="00F210EB">
            <w:pPr>
              <w:pStyle w:val="Default"/>
              <w:rPr>
                <w:sz w:val="20"/>
                <w:szCs w:val="20"/>
              </w:rPr>
            </w:pPr>
            <w:r>
              <w:rPr>
                <w:b/>
                <w:bCs/>
                <w:sz w:val="20"/>
                <w:szCs w:val="20"/>
              </w:rPr>
              <w:t>Year</w:t>
            </w:r>
            <w:r w:rsidR="00252C8D">
              <w:rPr>
                <w:b/>
                <w:bCs/>
                <w:sz w:val="20"/>
                <w:szCs w:val="20"/>
              </w:rPr>
              <w:t>: I (</w:t>
            </w:r>
            <w:r w:rsidR="00F210EB">
              <w:rPr>
                <w:b/>
                <w:bCs/>
                <w:sz w:val="20"/>
                <w:szCs w:val="20"/>
              </w:rPr>
              <w:t>FIRST</w:t>
            </w:r>
            <w:r w:rsidR="00252C8D">
              <w:rPr>
                <w:b/>
                <w:bCs/>
                <w:sz w:val="20"/>
                <w:szCs w:val="20"/>
              </w:rPr>
              <w:t xml:space="preserve">) </w:t>
            </w:r>
          </w:p>
        </w:tc>
        <w:tc>
          <w:tcPr>
            <w:tcW w:w="2201" w:type="dxa"/>
            <w:gridSpan w:val="2"/>
          </w:tcPr>
          <w:p w14:paraId="32ECF505" w14:textId="77777777" w:rsidR="00252C8D" w:rsidRDefault="008236FF" w:rsidP="00F210EB">
            <w:pPr>
              <w:pStyle w:val="Default"/>
              <w:rPr>
                <w:sz w:val="20"/>
                <w:szCs w:val="20"/>
              </w:rPr>
            </w:pPr>
            <w:r>
              <w:rPr>
                <w:b/>
                <w:bCs/>
                <w:sz w:val="20"/>
                <w:szCs w:val="20"/>
              </w:rPr>
              <w:t>Semeste</w:t>
            </w:r>
            <w:r w:rsidR="00252C8D">
              <w:rPr>
                <w:b/>
                <w:bCs/>
                <w:sz w:val="20"/>
                <w:szCs w:val="20"/>
              </w:rPr>
              <w:t>r: I (</w:t>
            </w:r>
            <w:r w:rsidR="00F210EB">
              <w:rPr>
                <w:b/>
                <w:bCs/>
                <w:sz w:val="20"/>
                <w:szCs w:val="20"/>
              </w:rPr>
              <w:t>FIRST</w:t>
            </w:r>
            <w:r w:rsidR="00252C8D">
              <w:rPr>
                <w:b/>
                <w:bCs/>
                <w:sz w:val="20"/>
                <w:szCs w:val="20"/>
              </w:rPr>
              <w:t xml:space="preserve">) </w:t>
            </w:r>
          </w:p>
        </w:tc>
        <w:tc>
          <w:tcPr>
            <w:tcW w:w="2203" w:type="dxa"/>
          </w:tcPr>
          <w:p w14:paraId="478090EA" w14:textId="77777777" w:rsidR="00252C8D" w:rsidRDefault="0097078F" w:rsidP="0097078F">
            <w:pPr>
              <w:pStyle w:val="Default"/>
              <w:rPr>
                <w:sz w:val="20"/>
                <w:szCs w:val="20"/>
              </w:rPr>
            </w:pPr>
            <w:r>
              <w:rPr>
                <w:b/>
                <w:bCs/>
                <w:sz w:val="20"/>
                <w:szCs w:val="20"/>
              </w:rPr>
              <w:t>ECTS credits</w:t>
            </w:r>
            <w:r w:rsidR="00252C8D">
              <w:rPr>
                <w:b/>
                <w:bCs/>
                <w:sz w:val="20"/>
                <w:szCs w:val="20"/>
              </w:rPr>
              <w:t>: 7 (S</w:t>
            </w:r>
            <w:r>
              <w:rPr>
                <w:b/>
                <w:bCs/>
                <w:sz w:val="20"/>
                <w:szCs w:val="20"/>
              </w:rPr>
              <w:t>EVEN</w:t>
            </w:r>
            <w:r w:rsidR="00252C8D">
              <w:rPr>
                <w:b/>
                <w:bCs/>
                <w:sz w:val="20"/>
                <w:szCs w:val="20"/>
              </w:rPr>
              <w:t xml:space="preserve">) </w:t>
            </w:r>
          </w:p>
        </w:tc>
      </w:tr>
      <w:tr w:rsidR="00252C8D" w14:paraId="25A52D5E" w14:textId="77777777" w:rsidTr="00995680">
        <w:trPr>
          <w:trHeight w:val="349"/>
        </w:trPr>
        <w:tc>
          <w:tcPr>
            <w:tcW w:w="2235" w:type="dxa"/>
          </w:tcPr>
          <w:p w14:paraId="17923CFF" w14:textId="77777777" w:rsidR="00252C8D" w:rsidRDefault="00252C8D" w:rsidP="008D20CF">
            <w:pPr>
              <w:pStyle w:val="Default"/>
              <w:rPr>
                <w:sz w:val="20"/>
                <w:szCs w:val="20"/>
              </w:rPr>
            </w:pPr>
            <w:r>
              <w:rPr>
                <w:b/>
                <w:bCs/>
                <w:sz w:val="20"/>
                <w:szCs w:val="20"/>
              </w:rPr>
              <w:t xml:space="preserve">Status: </w:t>
            </w:r>
            <w:r w:rsidR="008D20CF">
              <w:rPr>
                <w:b/>
                <w:bCs/>
                <w:sz w:val="20"/>
                <w:szCs w:val="20"/>
                <w:lang w:val="bs-Latn-BA"/>
              </w:rPr>
              <w:t>OBLIGATORY</w:t>
            </w:r>
          </w:p>
        </w:tc>
        <w:tc>
          <w:tcPr>
            <w:tcW w:w="3635" w:type="dxa"/>
            <w:gridSpan w:val="3"/>
          </w:tcPr>
          <w:p w14:paraId="603AC685" w14:textId="77777777" w:rsidR="00252C8D" w:rsidRDefault="0097078F">
            <w:pPr>
              <w:pStyle w:val="Default"/>
              <w:rPr>
                <w:sz w:val="20"/>
                <w:szCs w:val="20"/>
              </w:rPr>
            </w:pPr>
            <w:r w:rsidRPr="0097078F">
              <w:rPr>
                <w:b/>
                <w:bCs/>
                <w:sz w:val="20"/>
                <w:szCs w:val="20"/>
                <w:lang w:val="bs-Latn-BA"/>
              </w:rPr>
              <w:t>Number of hours per week</w:t>
            </w:r>
            <w:r w:rsidR="00252C8D">
              <w:rPr>
                <w:b/>
                <w:bCs/>
                <w:sz w:val="20"/>
                <w:szCs w:val="20"/>
              </w:rPr>
              <w:t xml:space="preserve">: </w:t>
            </w:r>
          </w:p>
          <w:p w14:paraId="49DECBE2" w14:textId="77777777" w:rsidR="00252C8D" w:rsidRDefault="00352679">
            <w:pPr>
              <w:pStyle w:val="Default"/>
              <w:rPr>
                <w:sz w:val="20"/>
                <w:szCs w:val="20"/>
              </w:rPr>
            </w:pPr>
            <w:r>
              <w:rPr>
                <w:b/>
                <w:bCs/>
                <w:sz w:val="20"/>
                <w:szCs w:val="20"/>
              </w:rPr>
              <w:t>LECTURES</w:t>
            </w:r>
            <w:r w:rsidR="00252C8D">
              <w:rPr>
                <w:b/>
                <w:bCs/>
                <w:sz w:val="20"/>
                <w:szCs w:val="20"/>
              </w:rPr>
              <w:t xml:space="preserve"> (P): 2 (</w:t>
            </w:r>
            <w:r w:rsidR="0097078F">
              <w:rPr>
                <w:b/>
                <w:bCs/>
                <w:sz w:val="20"/>
                <w:szCs w:val="20"/>
              </w:rPr>
              <w:t>two</w:t>
            </w:r>
            <w:r w:rsidR="00252C8D">
              <w:rPr>
                <w:b/>
                <w:bCs/>
                <w:sz w:val="20"/>
                <w:szCs w:val="20"/>
              </w:rPr>
              <w:t xml:space="preserve">) </w:t>
            </w:r>
            <w:r w:rsidR="0097078F">
              <w:rPr>
                <w:b/>
                <w:bCs/>
                <w:sz w:val="20"/>
                <w:szCs w:val="20"/>
              </w:rPr>
              <w:t>hours</w:t>
            </w:r>
            <w:r w:rsidR="00252C8D">
              <w:rPr>
                <w:b/>
                <w:bCs/>
                <w:sz w:val="20"/>
                <w:szCs w:val="20"/>
              </w:rPr>
              <w:t xml:space="preserve">; </w:t>
            </w:r>
          </w:p>
          <w:p w14:paraId="034088B4" w14:textId="77777777" w:rsidR="00252C8D" w:rsidRDefault="00352679" w:rsidP="0097078F">
            <w:pPr>
              <w:pStyle w:val="Default"/>
              <w:rPr>
                <w:sz w:val="20"/>
                <w:szCs w:val="20"/>
              </w:rPr>
            </w:pPr>
            <w:r>
              <w:rPr>
                <w:b/>
                <w:bCs/>
                <w:sz w:val="20"/>
                <w:szCs w:val="20"/>
              </w:rPr>
              <w:t>EXERCISE</w:t>
            </w:r>
            <w:r w:rsidR="00252C8D">
              <w:rPr>
                <w:b/>
                <w:bCs/>
                <w:sz w:val="20"/>
                <w:szCs w:val="20"/>
              </w:rPr>
              <w:t xml:space="preserve"> (V): 4 (</w:t>
            </w:r>
            <w:r w:rsidR="0097078F">
              <w:rPr>
                <w:b/>
                <w:bCs/>
                <w:sz w:val="20"/>
                <w:szCs w:val="20"/>
              </w:rPr>
              <w:t>four)</w:t>
            </w:r>
            <w:r w:rsidR="00252C8D">
              <w:rPr>
                <w:b/>
                <w:bCs/>
                <w:sz w:val="20"/>
                <w:szCs w:val="20"/>
              </w:rPr>
              <w:t xml:space="preserve"> </w:t>
            </w:r>
            <w:r w:rsidR="0097078F">
              <w:rPr>
                <w:b/>
                <w:bCs/>
                <w:sz w:val="20"/>
                <w:szCs w:val="20"/>
              </w:rPr>
              <w:t>hours</w:t>
            </w:r>
            <w:r w:rsidR="00252C8D">
              <w:rPr>
                <w:b/>
                <w:bCs/>
                <w:sz w:val="20"/>
                <w:szCs w:val="20"/>
              </w:rPr>
              <w:t xml:space="preserve">; </w:t>
            </w:r>
          </w:p>
        </w:tc>
        <w:tc>
          <w:tcPr>
            <w:tcW w:w="2937" w:type="dxa"/>
            <w:gridSpan w:val="2"/>
          </w:tcPr>
          <w:p w14:paraId="5DC90E92" w14:textId="77777777" w:rsidR="008D20CF" w:rsidRDefault="009549EE" w:rsidP="0097078F">
            <w:pPr>
              <w:pStyle w:val="Default"/>
              <w:rPr>
                <w:b/>
                <w:bCs/>
                <w:sz w:val="20"/>
                <w:szCs w:val="20"/>
              </w:rPr>
            </w:pPr>
            <w:r w:rsidRPr="009549EE">
              <w:rPr>
                <w:b/>
                <w:bCs/>
                <w:sz w:val="20"/>
                <w:szCs w:val="20"/>
              </w:rPr>
              <w:t>Total teaching hours</w:t>
            </w:r>
            <w:r w:rsidR="00252C8D">
              <w:rPr>
                <w:b/>
                <w:bCs/>
                <w:sz w:val="20"/>
                <w:szCs w:val="20"/>
              </w:rPr>
              <w:t>: 90</w:t>
            </w:r>
          </w:p>
          <w:p w14:paraId="0540E531" w14:textId="77777777" w:rsidR="00252C8D" w:rsidRDefault="00252C8D" w:rsidP="0097078F">
            <w:pPr>
              <w:pStyle w:val="Default"/>
              <w:rPr>
                <w:sz w:val="20"/>
                <w:szCs w:val="20"/>
              </w:rPr>
            </w:pPr>
            <w:r>
              <w:rPr>
                <w:b/>
                <w:bCs/>
                <w:sz w:val="20"/>
                <w:szCs w:val="20"/>
              </w:rPr>
              <w:t xml:space="preserve"> (P:30; V:60) </w:t>
            </w:r>
          </w:p>
        </w:tc>
      </w:tr>
      <w:tr w:rsidR="00252C8D" w14:paraId="475CE45A" w14:textId="77777777" w:rsidTr="00995680">
        <w:trPr>
          <w:trHeight w:val="380"/>
        </w:trPr>
        <w:tc>
          <w:tcPr>
            <w:tcW w:w="2235" w:type="dxa"/>
          </w:tcPr>
          <w:p w14:paraId="4CCA3B33" w14:textId="77777777" w:rsidR="00252C8D" w:rsidRPr="0097078F" w:rsidRDefault="0097078F">
            <w:pPr>
              <w:pStyle w:val="Default"/>
              <w:rPr>
                <w:b/>
                <w:bCs/>
                <w:sz w:val="20"/>
                <w:szCs w:val="20"/>
                <w:lang w:val="bs-Latn-BA"/>
              </w:rPr>
            </w:pPr>
            <w:r w:rsidRPr="0097078F">
              <w:rPr>
                <w:b/>
                <w:bCs/>
                <w:sz w:val="20"/>
                <w:szCs w:val="20"/>
                <w:lang w:val="en"/>
              </w:rPr>
              <w:t>Teaching staff</w:t>
            </w:r>
            <w:r w:rsidR="00252C8D">
              <w:rPr>
                <w:b/>
                <w:bCs/>
                <w:sz w:val="20"/>
                <w:szCs w:val="20"/>
              </w:rPr>
              <w:t xml:space="preserve">: </w:t>
            </w:r>
          </w:p>
        </w:tc>
        <w:tc>
          <w:tcPr>
            <w:tcW w:w="6572" w:type="dxa"/>
            <w:gridSpan w:val="5"/>
          </w:tcPr>
          <w:p w14:paraId="054DFB62" w14:textId="455F6778" w:rsidR="00252C8D" w:rsidRDefault="00A0049B">
            <w:pPr>
              <w:pStyle w:val="Default"/>
              <w:rPr>
                <w:sz w:val="20"/>
                <w:szCs w:val="20"/>
              </w:rPr>
            </w:pPr>
            <w:r w:rsidRPr="00A0049B">
              <w:rPr>
                <w:sz w:val="20"/>
                <w:szCs w:val="20"/>
              </w:rPr>
              <w:t>Course coordinator</w:t>
            </w:r>
            <w:r w:rsidR="00252C8D">
              <w:rPr>
                <w:sz w:val="20"/>
                <w:szCs w:val="20"/>
              </w:rPr>
              <w:t>: Prof.dr. AIDA ŠAPĈANIN (</w:t>
            </w:r>
            <w:r w:rsidR="006D393C">
              <w:rPr>
                <w:sz w:val="20"/>
                <w:szCs w:val="20"/>
              </w:rPr>
              <w:t>aida.sapcanin@ffsa.unsa.ba</w:t>
            </w:r>
            <w:r w:rsidR="00252C8D">
              <w:rPr>
                <w:sz w:val="20"/>
                <w:szCs w:val="20"/>
              </w:rPr>
              <w:t xml:space="preserve">) </w:t>
            </w:r>
          </w:p>
          <w:p w14:paraId="1BB188A4" w14:textId="5A6CFB4D" w:rsidR="00252C8D" w:rsidRDefault="00A0049B">
            <w:pPr>
              <w:pStyle w:val="Default"/>
              <w:rPr>
                <w:sz w:val="20"/>
                <w:szCs w:val="20"/>
              </w:rPr>
            </w:pPr>
            <w:r>
              <w:rPr>
                <w:sz w:val="20"/>
                <w:szCs w:val="20"/>
              </w:rPr>
              <w:t>Teachers</w:t>
            </w:r>
            <w:r w:rsidR="00252C8D">
              <w:rPr>
                <w:sz w:val="20"/>
                <w:szCs w:val="20"/>
              </w:rPr>
              <w:t>: Doc.dr. ŠAĆIRA MANDAL (</w:t>
            </w:r>
            <w:r w:rsidR="006D393C">
              <w:rPr>
                <w:sz w:val="20"/>
                <w:szCs w:val="20"/>
              </w:rPr>
              <w:t>sacira.mandal</w:t>
            </w:r>
            <w:bookmarkStart w:id="0" w:name="_GoBack"/>
            <w:bookmarkEnd w:id="0"/>
            <w:r w:rsidR="006D393C">
              <w:rPr>
                <w:sz w:val="20"/>
                <w:szCs w:val="20"/>
              </w:rPr>
              <w:t>.@ffsa.unsa.ba</w:t>
            </w:r>
            <w:r w:rsidR="00252C8D">
              <w:rPr>
                <w:sz w:val="20"/>
                <w:szCs w:val="20"/>
              </w:rPr>
              <w:t xml:space="preserve">) </w:t>
            </w:r>
          </w:p>
          <w:p w14:paraId="04D3AB3D" w14:textId="4E3B77BA" w:rsidR="00252C8D" w:rsidRDefault="00252C8D">
            <w:pPr>
              <w:pStyle w:val="Default"/>
              <w:rPr>
                <w:sz w:val="20"/>
                <w:szCs w:val="20"/>
              </w:rPr>
            </w:pPr>
            <w:r>
              <w:rPr>
                <w:sz w:val="20"/>
                <w:szCs w:val="20"/>
              </w:rPr>
              <w:t>Ass. Emina Ramić (emi</w:t>
            </w:r>
            <w:r w:rsidR="006D393C">
              <w:rPr>
                <w:sz w:val="20"/>
                <w:szCs w:val="20"/>
              </w:rPr>
              <w:t>na.ramic</w:t>
            </w:r>
            <w:r>
              <w:rPr>
                <w:sz w:val="20"/>
                <w:szCs w:val="20"/>
              </w:rPr>
              <w:t>@</w:t>
            </w:r>
            <w:r w:rsidR="006D393C">
              <w:rPr>
                <w:sz w:val="20"/>
                <w:szCs w:val="20"/>
              </w:rPr>
              <w:t>ffsa.unsa.ba</w:t>
            </w:r>
            <w:r>
              <w:rPr>
                <w:sz w:val="20"/>
                <w:szCs w:val="20"/>
              </w:rPr>
              <w:t xml:space="preserve">) </w:t>
            </w:r>
          </w:p>
        </w:tc>
      </w:tr>
      <w:tr w:rsidR="00252C8D" w14:paraId="2349F350" w14:textId="77777777" w:rsidTr="00995680">
        <w:trPr>
          <w:trHeight w:val="204"/>
        </w:trPr>
        <w:tc>
          <w:tcPr>
            <w:tcW w:w="2235" w:type="dxa"/>
          </w:tcPr>
          <w:p w14:paraId="51B13C71" w14:textId="77777777" w:rsidR="00252C8D" w:rsidRDefault="00252C8D" w:rsidP="008236FF">
            <w:pPr>
              <w:pStyle w:val="Default"/>
              <w:rPr>
                <w:sz w:val="20"/>
                <w:szCs w:val="20"/>
              </w:rPr>
            </w:pPr>
            <w:r>
              <w:rPr>
                <w:b/>
                <w:bCs/>
                <w:sz w:val="20"/>
                <w:szCs w:val="20"/>
              </w:rPr>
              <w:t>1. C</w:t>
            </w:r>
            <w:r w:rsidR="008236FF">
              <w:rPr>
                <w:b/>
                <w:bCs/>
                <w:sz w:val="20"/>
                <w:szCs w:val="20"/>
              </w:rPr>
              <w:t>ourse objective</w:t>
            </w:r>
          </w:p>
        </w:tc>
        <w:tc>
          <w:tcPr>
            <w:tcW w:w="6572" w:type="dxa"/>
            <w:gridSpan w:val="5"/>
          </w:tcPr>
          <w:p w14:paraId="17689C89" w14:textId="77777777" w:rsidR="00252C8D" w:rsidRDefault="008236FF">
            <w:pPr>
              <w:pStyle w:val="Default"/>
              <w:rPr>
                <w:sz w:val="20"/>
                <w:szCs w:val="20"/>
              </w:rPr>
            </w:pPr>
            <w:r w:rsidRPr="008236FF">
              <w:rPr>
                <w:sz w:val="20"/>
                <w:szCs w:val="20"/>
              </w:rPr>
              <w:t>To acquire basic theoretical and practical knowledge of the chemi</w:t>
            </w:r>
            <w:r w:rsidR="008D20CF">
              <w:rPr>
                <w:sz w:val="20"/>
                <w:szCs w:val="20"/>
              </w:rPr>
              <w:t>cal and physical principles of A</w:t>
            </w:r>
            <w:r w:rsidRPr="008236FF">
              <w:rPr>
                <w:sz w:val="20"/>
                <w:szCs w:val="20"/>
              </w:rPr>
              <w:t>nalytical chemistry - classical methods of analysis.</w:t>
            </w:r>
          </w:p>
        </w:tc>
      </w:tr>
      <w:tr w:rsidR="00252C8D" w14:paraId="37DE38BC" w14:textId="77777777" w:rsidTr="00252C8D">
        <w:trPr>
          <w:trHeight w:val="88"/>
        </w:trPr>
        <w:tc>
          <w:tcPr>
            <w:tcW w:w="8807" w:type="dxa"/>
            <w:gridSpan w:val="6"/>
          </w:tcPr>
          <w:p w14:paraId="6707F8BC" w14:textId="77777777" w:rsidR="00252C8D" w:rsidRDefault="00252C8D" w:rsidP="008D20CF">
            <w:pPr>
              <w:pStyle w:val="Default"/>
              <w:rPr>
                <w:sz w:val="20"/>
                <w:szCs w:val="20"/>
              </w:rPr>
            </w:pPr>
            <w:r>
              <w:rPr>
                <w:b/>
                <w:bCs/>
                <w:sz w:val="20"/>
                <w:szCs w:val="20"/>
              </w:rPr>
              <w:t xml:space="preserve">1.1. </w:t>
            </w:r>
            <w:r w:rsidR="008D20CF">
              <w:rPr>
                <w:b/>
                <w:bCs/>
                <w:sz w:val="20"/>
                <w:szCs w:val="20"/>
              </w:rPr>
              <w:t xml:space="preserve">Course </w:t>
            </w:r>
            <w:r w:rsidR="008236FF">
              <w:rPr>
                <w:b/>
                <w:bCs/>
                <w:sz w:val="20"/>
                <w:szCs w:val="20"/>
              </w:rPr>
              <w:t xml:space="preserve">Content </w:t>
            </w:r>
          </w:p>
        </w:tc>
      </w:tr>
      <w:tr w:rsidR="00252C8D" w14:paraId="02BB6245" w14:textId="77777777" w:rsidTr="00252C8D">
        <w:trPr>
          <w:trHeight w:val="1152"/>
        </w:trPr>
        <w:tc>
          <w:tcPr>
            <w:tcW w:w="8807" w:type="dxa"/>
            <w:gridSpan w:val="6"/>
          </w:tcPr>
          <w:p w14:paraId="63336879" w14:textId="77777777" w:rsidR="00252C8D" w:rsidRDefault="00252C8D" w:rsidP="00FA0526">
            <w:pPr>
              <w:pStyle w:val="Default"/>
              <w:jc w:val="both"/>
              <w:rPr>
                <w:sz w:val="20"/>
                <w:szCs w:val="20"/>
              </w:rPr>
            </w:pPr>
            <w:r>
              <w:rPr>
                <w:b/>
                <w:bCs/>
                <w:sz w:val="20"/>
                <w:szCs w:val="20"/>
              </w:rPr>
              <w:t>a) T</w:t>
            </w:r>
            <w:r w:rsidR="008236FF">
              <w:rPr>
                <w:b/>
                <w:bCs/>
                <w:sz w:val="20"/>
                <w:szCs w:val="20"/>
              </w:rPr>
              <w:t>heory</w:t>
            </w:r>
          </w:p>
          <w:p w14:paraId="463BE48A" w14:textId="77777777" w:rsidR="00252C8D" w:rsidRDefault="008236FF" w:rsidP="00FA0526">
            <w:pPr>
              <w:pStyle w:val="Default"/>
              <w:jc w:val="both"/>
              <w:rPr>
                <w:sz w:val="20"/>
                <w:szCs w:val="20"/>
              </w:rPr>
            </w:pPr>
            <w:r w:rsidRPr="008236FF">
              <w:rPr>
                <w:sz w:val="20"/>
                <w:szCs w:val="20"/>
              </w:rPr>
              <w:t>Introduction, importance and role of analytical chemistry, qualitative and quantitative analysis. Dissolution of substances. Solution composition, activity and concentration. Protolytic reactions. Complex building reactions, equilibrium in complex solutions. Significant complex compounds, side reactions in the equilibrium structures of complex compounds. Deposition reactions, product of solubility. Side reactions and their effect on the solubility product. Redox reactions, Electrochemical reactions, Calculation of electrode potentials, Equilibrium constant of redox reactions, prediction of redox reactions. Analytical calculations. In general about classical methods of quantitative chemical analysis - role, significance, division; Chemicals, apparatus and basic processes in classical chemical analysis. Introduction - volumetry. Titration curves. Acid-base titrations. Complexometric titrations. Sediment titrations. Redox titrations. Calculations in volumetry.</w:t>
            </w:r>
          </w:p>
        </w:tc>
      </w:tr>
      <w:tr w:rsidR="00252C8D" w14:paraId="4124B75A" w14:textId="77777777" w:rsidTr="00252C8D">
        <w:trPr>
          <w:trHeight w:val="921"/>
        </w:trPr>
        <w:tc>
          <w:tcPr>
            <w:tcW w:w="8807" w:type="dxa"/>
            <w:gridSpan w:val="6"/>
          </w:tcPr>
          <w:p w14:paraId="69B5A643" w14:textId="77777777" w:rsidR="00252C8D" w:rsidRDefault="00252C8D" w:rsidP="00FA0526">
            <w:pPr>
              <w:pStyle w:val="Default"/>
              <w:jc w:val="both"/>
              <w:rPr>
                <w:sz w:val="20"/>
                <w:szCs w:val="20"/>
              </w:rPr>
            </w:pPr>
            <w:r>
              <w:rPr>
                <w:b/>
                <w:bCs/>
                <w:sz w:val="20"/>
                <w:szCs w:val="20"/>
              </w:rPr>
              <w:t xml:space="preserve">b) </w:t>
            </w:r>
            <w:r w:rsidR="008236FF">
              <w:rPr>
                <w:b/>
                <w:bCs/>
                <w:sz w:val="20"/>
                <w:szCs w:val="20"/>
              </w:rPr>
              <w:t>Practice</w:t>
            </w:r>
            <w:r>
              <w:rPr>
                <w:b/>
                <w:bCs/>
                <w:sz w:val="20"/>
                <w:szCs w:val="20"/>
              </w:rPr>
              <w:t xml:space="preserve"> </w:t>
            </w:r>
          </w:p>
          <w:p w14:paraId="78B85731" w14:textId="77777777" w:rsidR="00991F87" w:rsidRPr="00991F87" w:rsidRDefault="00991F87" w:rsidP="00FA0526">
            <w:pPr>
              <w:pStyle w:val="Default"/>
              <w:jc w:val="both"/>
              <w:rPr>
                <w:sz w:val="20"/>
                <w:szCs w:val="20"/>
              </w:rPr>
            </w:pPr>
            <w:r w:rsidRPr="00991F87">
              <w:rPr>
                <w:sz w:val="20"/>
                <w:szCs w:val="20"/>
              </w:rPr>
              <w:t>Introduction, Qualitative and quantitative practicum and rules for laboratory exercises. Individual reactions to cations and analytical groups. Analysis of mixture of cations and analytical group. Individual reactions to cations II of the analytical group. Individual reactions to cations of III and IV of the analytical group. Individual reactions to cations V and VI of the analytical group. Individual reactions to anions I and II of the analytical group. Individual reactions to anions III and IV and V of the analytical group. Analysis of the selected sample. Volumetry - dishes. Weighing, titrating and reading. Oxygen-base titrations, selected samples. Complexometric titrations, selected samples.</w:t>
            </w:r>
          </w:p>
          <w:p w14:paraId="52F5F77F" w14:textId="77777777" w:rsidR="00252C8D" w:rsidRDefault="00991F87" w:rsidP="00FA0526">
            <w:pPr>
              <w:pStyle w:val="Default"/>
              <w:jc w:val="both"/>
              <w:rPr>
                <w:sz w:val="20"/>
                <w:szCs w:val="20"/>
              </w:rPr>
            </w:pPr>
            <w:r w:rsidRPr="00991F87">
              <w:rPr>
                <w:sz w:val="20"/>
                <w:szCs w:val="20"/>
              </w:rPr>
              <w:t>After each method, the corresponding tasks are processed.</w:t>
            </w:r>
          </w:p>
        </w:tc>
      </w:tr>
      <w:tr w:rsidR="00252C8D" w14:paraId="5983E3DB" w14:textId="77777777" w:rsidTr="0097078F">
        <w:trPr>
          <w:trHeight w:val="548"/>
        </w:trPr>
        <w:tc>
          <w:tcPr>
            <w:tcW w:w="2235" w:type="dxa"/>
          </w:tcPr>
          <w:p w14:paraId="389AC6F8" w14:textId="77777777" w:rsidR="00252C8D" w:rsidRDefault="00252C8D" w:rsidP="00FA0526">
            <w:pPr>
              <w:pStyle w:val="Default"/>
              <w:jc w:val="both"/>
              <w:rPr>
                <w:sz w:val="20"/>
                <w:szCs w:val="20"/>
              </w:rPr>
            </w:pPr>
            <w:r>
              <w:rPr>
                <w:b/>
                <w:bCs/>
                <w:sz w:val="20"/>
                <w:szCs w:val="20"/>
              </w:rPr>
              <w:t xml:space="preserve">1.2. </w:t>
            </w:r>
            <w:r w:rsidR="0097078F">
              <w:rPr>
                <w:b/>
                <w:bCs/>
                <w:sz w:val="20"/>
                <w:szCs w:val="20"/>
              </w:rPr>
              <w:t>Learning outcomes</w:t>
            </w:r>
            <w:r>
              <w:rPr>
                <w:b/>
                <w:bCs/>
                <w:sz w:val="20"/>
                <w:szCs w:val="20"/>
              </w:rPr>
              <w:t xml:space="preserve"> </w:t>
            </w:r>
          </w:p>
        </w:tc>
        <w:tc>
          <w:tcPr>
            <w:tcW w:w="6572" w:type="dxa"/>
            <w:gridSpan w:val="5"/>
          </w:tcPr>
          <w:p w14:paraId="24CFF8AE" w14:textId="77777777" w:rsidR="00252C8D" w:rsidRPr="0097078F" w:rsidRDefault="0097078F" w:rsidP="00FA0526">
            <w:pPr>
              <w:pStyle w:val="Default"/>
              <w:jc w:val="both"/>
              <w:rPr>
                <w:sz w:val="20"/>
                <w:szCs w:val="20"/>
                <w:lang w:val="bs-Latn-BA"/>
              </w:rPr>
            </w:pPr>
            <w:r w:rsidRPr="0097078F">
              <w:rPr>
                <w:sz w:val="20"/>
                <w:szCs w:val="20"/>
                <w:lang w:val="en"/>
              </w:rPr>
              <w:t>Students' ability for independent qualitative and quantitative chemical analysis - based on classical principles, based on theoretical knowledge</w:t>
            </w:r>
          </w:p>
        </w:tc>
      </w:tr>
      <w:tr w:rsidR="00252C8D" w14:paraId="4810DF84" w14:textId="77777777" w:rsidTr="00252C8D">
        <w:trPr>
          <w:trHeight w:val="88"/>
        </w:trPr>
        <w:tc>
          <w:tcPr>
            <w:tcW w:w="8807" w:type="dxa"/>
            <w:gridSpan w:val="6"/>
          </w:tcPr>
          <w:p w14:paraId="33C92EB0" w14:textId="77777777" w:rsidR="00252C8D" w:rsidRPr="008D20CF" w:rsidRDefault="00252C8D" w:rsidP="008D20CF">
            <w:pPr>
              <w:pStyle w:val="Default"/>
              <w:rPr>
                <w:color w:val="auto"/>
                <w:sz w:val="20"/>
                <w:szCs w:val="20"/>
              </w:rPr>
            </w:pPr>
            <w:r w:rsidRPr="008D20CF">
              <w:rPr>
                <w:b/>
                <w:bCs/>
                <w:color w:val="auto"/>
                <w:sz w:val="20"/>
                <w:szCs w:val="20"/>
              </w:rPr>
              <w:t xml:space="preserve">2. </w:t>
            </w:r>
            <w:r w:rsidR="008D20CF" w:rsidRPr="008D20CF">
              <w:rPr>
                <w:b/>
                <w:bCs/>
                <w:color w:val="auto"/>
                <w:sz w:val="20"/>
                <w:szCs w:val="20"/>
              </w:rPr>
              <w:t>COURSE</w:t>
            </w:r>
            <w:r w:rsidR="009549EE" w:rsidRPr="008D20CF">
              <w:rPr>
                <w:b/>
                <w:bCs/>
                <w:color w:val="auto"/>
                <w:sz w:val="20"/>
                <w:szCs w:val="20"/>
              </w:rPr>
              <w:t xml:space="preserve"> ORGANIZATION</w:t>
            </w:r>
            <w:r w:rsidRPr="008D20CF">
              <w:rPr>
                <w:b/>
                <w:bCs/>
                <w:color w:val="auto"/>
                <w:sz w:val="20"/>
                <w:szCs w:val="20"/>
              </w:rPr>
              <w:t xml:space="preserve"> </w:t>
            </w:r>
          </w:p>
        </w:tc>
      </w:tr>
      <w:tr w:rsidR="00252C8D" w14:paraId="3AEFF8D9" w14:textId="77777777" w:rsidTr="00252C8D">
        <w:trPr>
          <w:trHeight w:val="88"/>
        </w:trPr>
        <w:tc>
          <w:tcPr>
            <w:tcW w:w="8807" w:type="dxa"/>
            <w:gridSpan w:val="6"/>
          </w:tcPr>
          <w:p w14:paraId="4A5BB307" w14:textId="77777777" w:rsidR="00252C8D" w:rsidRPr="008D20CF" w:rsidRDefault="009549EE">
            <w:pPr>
              <w:pStyle w:val="Default"/>
              <w:rPr>
                <w:color w:val="auto"/>
                <w:sz w:val="20"/>
                <w:szCs w:val="20"/>
              </w:rPr>
            </w:pPr>
            <w:r w:rsidRPr="008D20CF">
              <w:rPr>
                <w:b/>
                <w:bCs/>
                <w:i/>
                <w:iCs/>
                <w:color w:val="auto"/>
                <w:sz w:val="20"/>
                <w:szCs w:val="20"/>
              </w:rPr>
              <w:t>Activities</w:t>
            </w:r>
          </w:p>
        </w:tc>
      </w:tr>
      <w:tr w:rsidR="00252C8D" w14:paraId="63D1161F" w14:textId="77777777" w:rsidTr="00995680">
        <w:trPr>
          <w:trHeight w:val="380"/>
        </w:trPr>
        <w:tc>
          <w:tcPr>
            <w:tcW w:w="2935" w:type="dxa"/>
            <w:gridSpan w:val="2"/>
          </w:tcPr>
          <w:p w14:paraId="232A667D" w14:textId="77777777" w:rsidR="00252C8D" w:rsidRPr="008D20CF" w:rsidRDefault="00252C8D" w:rsidP="009549EE">
            <w:pPr>
              <w:pStyle w:val="Default"/>
              <w:rPr>
                <w:color w:val="auto"/>
                <w:sz w:val="20"/>
                <w:szCs w:val="20"/>
              </w:rPr>
            </w:pPr>
            <w:r w:rsidRPr="008D20CF">
              <w:rPr>
                <w:b/>
                <w:bCs/>
                <w:color w:val="auto"/>
                <w:sz w:val="20"/>
                <w:szCs w:val="20"/>
              </w:rPr>
              <w:t xml:space="preserve">2.1. </w:t>
            </w:r>
            <w:r w:rsidR="009549EE" w:rsidRPr="008D20CF">
              <w:rPr>
                <w:b/>
                <w:bCs/>
                <w:color w:val="auto"/>
                <w:sz w:val="20"/>
                <w:szCs w:val="20"/>
              </w:rPr>
              <w:t>Teaching method</w:t>
            </w:r>
            <w:r w:rsidRPr="008D20CF">
              <w:rPr>
                <w:b/>
                <w:bCs/>
                <w:color w:val="auto"/>
                <w:sz w:val="20"/>
                <w:szCs w:val="20"/>
              </w:rPr>
              <w:t xml:space="preserve"> </w:t>
            </w:r>
          </w:p>
        </w:tc>
        <w:tc>
          <w:tcPr>
            <w:tcW w:w="2935" w:type="dxa"/>
            <w:gridSpan w:val="2"/>
          </w:tcPr>
          <w:p w14:paraId="2CAA9218" w14:textId="77777777" w:rsidR="00252C8D" w:rsidRPr="008D20CF" w:rsidRDefault="00252C8D">
            <w:pPr>
              <w:pStyle w:val="Default"/>
              <w:rPr>
                <w:color w:val="auto"/>
                <w:sz w:val="20"/>
                <w:szCs w:val="20"/>
              </w:rPr>
            </w:pPr>
            <w:r w:rsidRPr="008D20CF">
              <w:rPr>
                <w:color w:val="auto"/>
                <w:sz w:val="20"/>
                <w:szCs w:val="20"/>
              </w:rPr>
              <w:t>1</w:t>
            </w:r>
            <w:r w:rsidR="009549EE" w:rsidRPr="008D20CF">
              <w:rPr>
                <w:color w:val="auto"/>
                <w:sz w:val="20"/>
                <w:szCs w:val="20"/>
              </w:rPr>
              <w:t>. ex c</w:t>
            </w:r>
            <w:r w:rsidRPr="008D20CF">
              <w:rPr>
                <w:color w:val="auto"/>
                <w:sz w:val="20"/>
                <w:szCs w:val="20"/>
              </w:rPr>
              <w:t>at</w:t>
            </w:r>
            <w:r w:rsidR="009549EE" w:rsidRPr="008D20CF">
              <w:rPr>
                <w:color w:val="auto"/>
                <w:sz w:val="20"/>
                <w:szCs w:val="20"/>
              </w:rPr>
              <w:t>h</w:t>
            </w:r>
            <w:r w:rsidRPr="008D20CF">
              <w:rPr>
                <w:color w:val="auto"/>
                <w:sz w:val="20"/>
                <w:szCs w:val="20"/>
              </w:rPr>
              <w:t xml:space="preserve">edra </w:t>
            </w:r>
          </w:p>
          <w:p w14:paraId="26B35D8A" w14:textId="77777777" w:rsidR="00252C8D" w:rsidRPr="008D20CF" w:rsidRDefault="00252C8D">
            <w:pPr>
              <w:pStyle w:val="Default"/>
              <w:rPr>
                <w:color w:val="auto"/>
                <w:sz w:val="20"/>
                <w:szCs w:val="20"/>
              </w:rPr>
            </w:pPr>
            <w:r w:rsidRPr="008D20CF">
              <w:rPr>
                <w:color w:val="auto"/>
                <w:sz w:val="20"/>
                <w:szCs w:val="20"/>
              </w:rPr>
              <w:t>2. laborator</w:t>
            </w:r>
            <w:r w:rsidR="009549EE" w:rsidRPr="008D20CF">
              <w:rPr>
                <w:color w:val="auto"/>
                <w:sz w:val="20"/>
                <w:szCs w:val="20"/>
              </w:rPr>
              <w:t>y exercises</w:t>
            </w:r>
          </w:p>
          <w:p w14:paraId="4A184129" w14:textId="77777777" w:rsidR="00252C8D" w:rsidRPr="008D20CF" w:rsidRDefault="00252C8D">
            <w:pPr>
              <w:pStyle w:val="Default"/>
              <w:rPr>
                <w:color w:val="auto"/>
                <w:sz w:val="20"/>
                <w:szCs w:val="20"/>
              </w:rPr>
            </w:pPr>
            <w:r w:rsidRPr="008D20CF">
              <w:rPr>
                <w:color w:val="auto"/>
                <w:sz w:val="20"/>
                <w:szCs w:val="20"/>
              </w:rPr>
              <w:t>3.</w:t>
            </w:r>
            <w:r w:rsidR="009549EE" w:rsidRPr="008D20CF">
              <w:rPr>
                <w:color w:val="auto"/>
              </w:rPr>
              <w:t xml:space="preserve"> </w:t>
            </w:r>
            <w:r w:rsidR="009549EE" w:rsidRPr="008D20CF">
              <w:rPr>
                <w:color w:val="auto"/>
                <w:sz w:val="20"/>
                <w:szCs w:val="20"/>
              </w:rPr>
              <w:t>computational exercises</w:t>
            </w:r>
          </w:p>
        </w:tc>
        <w:tc>
          <w:tcPr>
            <w:tcW w:w="2937" w:type="dxa"/>
            <w:gridSpan w:val="2"/>
          </w:tcPr>
          <w:p w14:paraId="1F88AD6B" w14:textId="77777777" w:rsidR="00252C8D" w:rsidRPr="008D20CF" w:rsidRDefault="00252C8D">
            <w:pPr>
              <w:pStyle w:val="Default"/>
              <w:rPr>
                <w:color w:val="auto"/>
                <w:sz w:val="20"/>
                <w:szCs w:val="20"/>
              </w:rPr>
            </w:pPr>
            <w:r w:rsidRPr="008D20CF">
              <w:rPr>
                <w:color w:val="auto"/>
                <w:sz w:val="20"/>
                <w:szCs w:val="20"/>
              </w:rPr>
              <w:t xml:space="preserve">1. 30 % </w:t>
            </w:r>
          </w:p>
          <w:p w14:paraId="5971AE72" w14:textId="77777777" w:rsidR="00252C8D" w:rsidRPr="008D20CF" w:rsidRDefault="00252C8D">
            <w:pPr>
              <w:pStyle w:val="Default"/>
              <w:rPr>
                <w:color w:val="auto"/>
                <w:sz w:val="20"/>
                <w:szCs w:val="20"/>
              </w:rPr>
            </w:pPr>
            <w:r w:rsidRPr="008D20CF">
              <w:rPr>
                <w:color w:val="auto"/>
                <w:sz w:val="20"/>
                <w:szCs w:val="20"/>
              </w:rPr>
              <w:t xml:space="preserve">2. 60 % </w:t>
            </w:r>
          </w:p>
          <w:p w14:paraId="793E3DAD" w14:textId="77777777" w:rsidR="00252C8D" w:rsidRPr="008D20CF" w:rsidRDefault="00252C8D">
            <w:pPr>
              <w:pStyle w:val="Default"/>
              <w:rPr>
                <w:color w:val="auto"/>
                <w:sz w:val="20"/>
                <w:szCs w:val="20"/>
              </w:rPr>
            </w:pPr>
            <w:r w:rsidRPr="008D20CF">
              <w:rPr>
                <w:color w:val="auto"/>
                <w:sz w:val="20"/>
                <w:szCs w:val="20"/>
              </w:rPr>
              <w:t xml:space="preserve">3.10 % </w:t>
            </w:r>
          </w:p>
        </w:tc>
      </w:tr>
      <w:tr w:rsidR="00252C8D" w14:paraId="353FDFF9" w14:textId="77777777" w:rsidTr="00252C8D">
        <w:trPr>
          <w:trHeight w:val="88"/>
        </w:trPr>
        <w:tc>
          <w:tcPr>
            <w:tcW w:w="8807" w:type="dxa"/>
            <w:gridSpan w:val="6"/>
          </w:tcPr>
          <w:p w14:paraId="674AA243" w14:textId="77777777" w:rsidR="00252C8D" w:rsidRPr="008D20CF" w:rsidRDefault="009549EE">
            <w:pPr>
              <w:pStyle w:val="Default"/>
              <w:rPr>
                <w:color w:val="auto"/>
                <w:sz w:val="20"/>
                <w:szCs w:val="20"/>
              </w:rPr>
            </w:pPr>
            <w:r w:rsidRPr="008D20CF">
              <w:rPr>
                <w:b/>
                <w:bCs/>
                <w:i/>
                <w:iCs/>
                <w:color w:val="auto"/>
                <w:sz w:val="20"/>
                <w:szCs w:val="20"/>
              </w:rPr>
              <w:t xml:space="preserve">Participation in the assessment </w:t>
            </w:r>
            <w:r w:rsidR="00252C8D" w:rsidRPr="008D20CF">
              <w:rPr>
                <w:b/>
                <w:bCs/>
                <w:i/>
                <w:iCs/>
                <w:color w:val="auto"/>
                <w:sz w:val="20"/>
                <w:szCs w:val="20"/>
              </w:rPr>
              <w:t xml:space="preserve">(%) </w:t>
            </w:r>
          </w:p>
        </w:tc>
      </w:tr>
      <w:tr w:rsidR="00252C8D" w14:paraId="4F3F0640" w14:textId="77777777" w:rsidTr="00995680">
        <w:trPr>
          <w:trHeight w:val="379"/>
        </w:trPr>
        <w:tc>
          <w:tcPr>
            <w:tcW w:w="2935" w:type="dxa"/>
            <w:gridSpan w:val="2"/>
          </w:tcPr>
          <w:p w14:paraId="6E80220E" w14:textId="77777777" w:rsidR="00252C8D" w:rsidRPr="008D20CF" w:rsidRDefault="00252C8D">
            <w:pPr>
              <w:pStyle w:val="Default"/>
              <w:rPr>
                <w:color w:val="auto"/>
                <w:sz w:val="20"/>
                <w:szCs w:val="20"/>
              </w:rPr>
            </w:pPr>
            <w:r w:rsidRPr="008D20CF">
              <w:rPr>
                <w:b/>
                <w:bCs/>
                <w:color w:val="auto"/>
                <w:sz w:val="20"/>
                <w:szCs w:val="20"/>
              </w:rPr>
              <w:t xml:space="preserve">2.2. </w:t>
            </w:r>
            <w:r w:rsidR="009549EE" w:rsidRPr="008D20CF">
              <w:rPr>
                <w:b/>
                <w:bCs/>
                <w:color w:val="auto"/>
                <w:sz w:val="20"/>
                <w:szCs w:val="20"/>
              </w:rPr>
              <w:t>Rating system</w:t>
            </w:r>
          </w:p>
        </w:tc>
        <w:tc>
          <w:tcPr>
            <w:tcW w:w="2935" w:type="dxa"/>
            <w:gridSpan w:val="2"/>
          </w:tcPr>
          <w:p w14:paraId="44A761AE" w14:textId="77777777" w:rsidR="009549EE" w:rsidRPr="008D20CF" w:rsidRDefault="00252C8D" w:rsidP="009549EE">
            <w:pPr>
              <w:pStyle w:val="Default"/>
              <w:rPr>
                <w:color w:val="auto"/>
                <w:sz w:val="20"/>
                <w:szCs w:val="20"/>
              </w:rPr>
            </w:pPr>
            <w:r w:rsidRPr="008D20CF">
              <w:rPr>
                <w:color w:val="auto"/>
                <w:sz w:val="20"/>
                <w:szCs w:val="20"/>
              </w:rPr>
              <w:t>1</w:t>
            </w:r>
            <w:r w:rsidR="009549EE" w:rsidRPr="008D20CF">
              <w:rPr>
                <w:color w:val="auto"/>
              </w:rPr>
              <w:t xml:space="preserve"> </w:t>
            </w:r>
            <w:r w:rsidR="009549EE" w:rsidRPr="008D20CF">
              <w:rPr>
                <w:color w:val="auto"/>
                <w:sz w:val="20"/>
                <w:szCs w:val="20"/>
              </w:rPr>
              <w:t xml:space="preserve">Attending lectures </w:t>
            </w:r>
          </w:p>
          <w:p w14:paraId="645B2DF2" w14:textId="77777777" w:rsidR="009549EE" w:rsidRPr="008D20CF" w:rsidRDefault="009549EE" w:rsidP="009549EE">
            <w:pPr>
              <w:pStyle w:val="Default"/>
              <w:rPr>
                <w:color w:val="auto"/>
                <w:sz w:val="20"/>
                <w:szCs w:val="20"/>
              </w:rPr>
            </w:pPr>
            <w:r w:rsidRPr="008D20CF">
              <w:rPr>
                <w:color w:val="auto"/>
                <w:sz w:val="20"/>
                <w:szCs w:val="20"/>
              </w:rPr>
              <w:t>2. Activation / Exercise-tests</w:t>
            </w:r>
          </w:p>
          <w:p w14:paraId="18FE7FAC" w14:textId="77777777" w:rsidR="00252C8D" w:rsidRPr="008D20CF" w:rsidRDefault="009549EE" w:rsidP="009549EE">
            <w:pPr>
              <w:pStyle w:val="Default"/>
              <w:rPr>
                <w:color w:val="auto"/>
                <w:sz w:val="20"/>
                <w:szCs w:val="20"/>
              </w:rPr>
            </w:pPr>
            <w:r w:rsidRPr="008D20CF">
              <w:rPr>
                <w:color w:val="auto"/>
                <w:sz w:val="20"/>
                <w:szCs w:val="20"/>
              </w:rPr>
              <w:t>3.Final exam (Test 1+Test 2 )</w:t>
            </w:r>
          </w:p>
        </w:tc>
        <w:tc>
          <w:tcPr>
            <w:tcW w:w="2937" w:type="dxa"/>
            <w:gridSpan w:val="2"/>
          </w:tcPr>
          <w:p w14:paraId="7674AC64" w14:textId="77777777" w:rsidR="00252C8D" w:rsidRPr="008D20CF" w:rsidRDefault="00252C8D">
            <w:pPr>
              <w:pStyle w:val="Default"/>
              <w:rPr>
                <w:color w:val="auto"/>
                <w:sz w:val="20"/>
                <w:szCs w:val="20"/>
              </w:rPr>
            </w:pPr>
            <w:r w:rsidRPr="008D20CF">
              <w:rPr>
                <w:color w:val="auto"/>
                <w:sz w:val="20"/>
                <w:szCs w:val="20"/>
              </w:rPr>
              <w:t xml:space="preserve">1. 10 % </w:t>
            </w:r>
          </w:p>
          <w:p w14:paraId="75068065" w14:textId="77777777" w:rsidR="00252C8D" w:rsidRPr="008D20CF" w:rsidRDefault="00252C8D">
            <w:pPr>
              <w:pStyle w:val="Default"/>
              <w:rPr>
                <w:color w:val="auto"/>
                <w:sz w:val="20"/>
                <w:szCs w:val="20"/>
              </w:rPr>
            </w:pPr>
            <w:r w:rsidRPr="008D20CF">
              <w:rPr>
                <w:color w:val="auto"/>
                <w:sz w:val="20"/>
                <w:szCs w:val="20"/>
              </w:rPr>
              <w:t xml:space="preserve">2. 20 % </w:t>
            </w:r>
          </w:p>
          <w:p w14:paraId="15789D80" w14:textId="77777777" w:rsidR="00252C8D" w:rsidRPr="008D20CF" w:rsidRDefault="00252C8D">
            <w:pPr>
              <w:pStyle w:val="Default"/>
              <w:rPr>
                <w:color w:val="auto"/>
                <w:sz w:val="20"/>
                <w:szCs w:val="20"/>
              </w:rPr>
            </w:pPr>
            <w:r w:rsidRPr="008D20CF">
              <w:rPr>
                <w:color w:val="auto"/>
                <w:sz w:val="20"/>
                <w:szCs w:val="20"/>
              </w:rPr>
              <w:t xml:space="preserve">3. 70 % </w:t>
            </w:r>
          </w:p>
        </w:tc>
      </w:tr>
      <w:tr w:rsidR="00252C8D" w14:paraId="005A2D5E" w14:textId="77777777" w:rsidTr="00252C8D">
        <w:trPr>
          <w:trHeight w:val="88"/>
        </w:trPr>
        <w:tc>
          <w:tcPr>
            <w:tcW w:w="8807" w:type="dxa"/>
            <w:gridSpan w:val="6"/>
          </w:tcPr>
          <w:p w14:paraId="3FDF9B6B" w14:textId="77777777" w:rsidR="00252C8D" w:rsidRDefault="00252C8D">
            <w:pPr>
              <w:pStyle w:val="Default"/>
              <w:rPr>
                <w:sz w:val="20"/>
                <w:szCs w:val="20"/>
              </w:rPr>
            </w:pPr>
            <w:r>
              <w:rPr>
                <w:b/>
                <w:bCs/>
                <w:sz w:val="20"/>
                <w:szCs w:val="20"/>
              </w:rPr>
              <w:t xml:space="preserve">3. LITERATURA </w:t>
            </w:r>
          </w:p>
        </w:tc>
      </w:tr>
      <w:tr w:rsidR="00252C8D" w14:paraId="576E3A0D" w14:textId="77777777" w:rsidTr="00252C8D">
        <w:trPr>
          <w:trHeight w:val="432"/>
        </w:trPr>
        <w:tc>
          <w:tcPr>
            <w:tcW w:w="8807" w:type="dxa"/>
            <w:gridSpan w:val="6"/>
          </w:tcPr>
          <w:p w14:paraId="1E8B2C4B" w14:textId="77777777" w:rsidR="00252C8D" w:rsidRDefault="008D20CF">
            <w:pPr>
              <w:pStyle w:val="Default"/>
              <w:rPr>
                <w:sz w:val="20"/>
                <w:szCs w:val="20"/>
              </w:rPr>
            </w:pPr>
            <w:r>
              <w:rPr>
                <w:b/>
                <w:bCs/>
                <w:sz w:val="20"/>
                <w:szCs w:val="20"/>
              </w:rPr>
              <w:t>Obligatory</w:t>
            </w:r>
            <w:r w:rsidR="00252C8D">
              <w:rPr>
                <w:b/>
                <w:bCs/>
                <w:sz w:val="20"/>
                <w:szCs w:val="20"/>
              </w:rPr>
              <w:t xml:space="preserve"> : </w:t>
            </w:r>
          </w:p>
          <w:p w14:paraId="5C2EF51D" w14:textId="77777777" w:rsidR="00252C8D" w:rsidRDefault="00252C8D">
            <w:pPr>
              <w:pStyle w:val="Default"/>
              <w:rPr>
                <w:sz w:val="20"/>
                <w:szCs w:val="20"/>
              </w:rPr>
            </w:pPr>
            <w:r>
              <w:rPr>
                <w:sz w:val="20"/>
                <w:szCs w:val="20"/>
              </w:rPr>
              <w:t xml:space="preserve">1. Savić,J., Savić, M. Osnovi analitiĉke hemije, klasiĉne metode, Svjetlost, Sarajevo, 1987 </w:t>
            </w:r>
          </w:p>
          <w:p w14:paraId="107E46C9" w14:textId="77777777" w:rsidR="00252C8D" w:rsidRDefault="00252C8D">
            <w:pPr>
              <w:pStyle w:val="Default"/>
              <w:rPr>
                <w:sz w:val="20"/>
                <w:szCs w:val="20"/>
              </w:rPr>
            </w:pPr>
            <w:r>
              <w:rPr>
                <w:sz w:val="20"/>
                <w:szCs w:val="20"/>
              </w:rPr>
              <w:t xml:space="preserve">2. Šapĉanin A, Mandal Š, Imamović A. Praktikum Analitiĉke hemije za studente Farmaceutskog fakulteta, Coron’s, Sarajevo, 2014. </w:t>
            </w:r>
          </w:p>
        </w:tc>
      </w:tr>
      <w:tr w:rsidR="00252C8D" w14:paraId="5AA1B5CC" w14:textId="77777777" w:rsidTr="00252C8D">
        <w:trPr>
          <w:trHeight w:val="432"/>
        </w:trPr>
        <w:tc>
          <w:tcPr>
            <w:tcW w:w="8807" w:type="dxa"/>
            <w:gridSpan w:val="6"/>
          </w:tcPr>
          <w:p w14:paraId="3AB5E4EE" w14:textId="77777777" w:rsidR="00252C8D" w:rsidRDefault="0097078F">
            <w:pPr>
              <w:pStyle w:val="Default"/>
              <w:rPr>
                <w:sz w:val="20"/>
                <w:szCs w:val="20"/>
              </w:rPr>
            </w:pPr>
            <w:r>
              <w:rPr>
                <w:b/>
                <w:bCs/>
                <w:sz w:val="20"/>
                <w:szCs w:val="20"/>
              </w:rPr>
              <w:t>Additional</w:t>
            </w:r>
            <w:r w:rsidR="00252C8D">
              <w:rPr>
                <w:b/>
                <w:bCs/>
                <w:sz w:val="20"/>
                <w:szCs w:val="20"/>
              </w:rPr>
              <w:t xml:space="preserve">: </w:t>
            </w:r>
          </w:p>
          <w:p w14:paraId="6F1C60FD" w14:textId="77777777" w:rsidR="00252C8D" w:rsidRDefault="00252C8D">
            <w:pPr>
              <w:pStyle w:val="Default"/>
              <w:rPr>
                <w:sz w:val="20"/>
                <w:szCs w:val="20"/>
              </w:rPr>
            </w:pPr>
            <w:r>
              <w:rPr>
                <w:sz w:val="20"/>
                <w:szCs w:val="20"/>
              </w:rPr>
              <w:t xml:space="preserve">1. Skoog, D.A., West, D.M., Holler, F.J. Osnovi analitiĉke kemije, šesto Izdanje (englesko), prvo izdanje (hrvatsko), Školska knjiga, Zagreb, 1999 </w:t>
            </w:r>
          </w:p>
          <w:p w14:paraId="2EC1C4A5" w14:textId="77777777" w:rsidR="00252C8D" w:rsidRDefault="00252C8D">
            <w:pPr>
              <w:pStyle w:val="Default"/>
              <w:rPr>
                <w:sz w:val="20"/>
                <w:szCs w:val="20"/>
              </w:rPr>
            </w:pPr>
            <w:r>
              <w:rPr>
                <w:sz w:val="20"/>
                <w:szCs w:val="20"/>
              </w:rPr>
              <w:t xml:space="preserve">2. Svehla, G. Vogel’s Qualitative Inorganic Analysis,7th ed. Longman, England, 1996 </w:t>
            </w:r>
          </w:p>
        </w:tc>
      </w:tr>
    </w:tbl>
    <w:p w14:paraId="08C8345F" w14:textId="77777777" w:rsidR="004E7E05" w:rsidRDefault="004E7E05"/>
    <w:sectPr w:rsidR="004E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8D"/>
    <w:rsid w:val="00252C8D"/>
    <w:rsid w:val="00352679"/>
    <w:rsid w:val="003A0CBA"/>
    <w:rsid w:val="004E7E05"/>
    <w:rsid w:val="006D393C"/>
    <w:rsid w:val="008236FF"/>
    <w:rsid w:val="008D20CF"/>
    <w:rsid w:val="009549EE"/>
    <w:rsid w:val="0097078F"/>
    <w:rsid w:val="00991F87"/>
    <w:rsid w:val="00995680"/>
    <w:rsid w:val="00A0049B"/>
    <w:rsid w:val="00DA74D0"/>
    <w:rsid w:val="00F210EB"/>
    <w:rsid w:val="00FA0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31D7"/>
  <w15:docId w15:val="{827B9467-EE51-41DC-AF26-22698897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CBA"/>
    <w:pPr>
      <w:spacing w:after="200" w:line="276" w:lineRule="auto"/>
    </w:pPr>
    <w:rPr>
      <w:rFonts w:ascii="Calibri" w:hAnsi="Calibri"/>
      <w:sz w:val="22"/>
      <w:szCs w:val="22"/>
      <w:lang w:val="bs-Latn-BA"/>
    </w:rPr>
  </w:style>
  <w:style w:type="paragraph" w:styleId="Heading1">
    <w:name w:val="heading 1"/>
    <w:basedOn w:val="Normal"/>
    <w:next w:val="Normal"/>
    <w:link w:val="Heading1Char"/>
    <w:qFormat/>
    <w:rsid w:val="003A0CBA"/>
    <w:pPr>
      <w:keepNext/>
      <w:spacing w:before="240" w:after="60"/>
      <w:outlineLvl w:val="0"/>
    </w:pPr>
    <w:rPr>
      <w:rFonts w:ascii="Cambria" w:hAnsi="Cambria"/>
      <w:b/>
      <w:bCs/>
      <w:kern w:val="32"/>
      <w:sz w:val="32"/>
      <w:szCs w:val="32"/>
      <w:lang w:val="hr-HR"/>
    </w:rPr>
  </w:style>
  <w:style w:type="paragraph" w:styleId="Heading2">
    <w:name w:val="heading 2"/>
    <w:basedOn w:val="Normal"/>
    <w:next w:val="Normal"/>
    <w:link w:val="Heading2Char"/>
    <w:qFormat/>
    <w:rsid w:val="003A0CBA"/>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qFormat/>
    <w:rsid w:val="003A0CBA"/>
    <w:pPr>
      <w:keepNext/>
      <w:suppressAutoHyphens/>
      <w:spacing w:after="0" w:line="240" w:lineRule="auto"/>
      <w:outlineLvl w:val="4"/>
    </w:pPr>
    <w:rPr>
      <w:rFonts w:ascii="Times New Roman" w:hAnsi="Times New Roman"/>
      <w:b/>
      <w:bCs/>
      <w:sz w:val="24"/>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0CBA"/>
    <w:rPr>
      <w:rFonts w:ascii="Cambria" w:hAnsi="Cambria"/>
      <w:b/>
      <w:bCs/>
      <w:kern w:val="32"/>
      <w:sz w:val="32"/>
      <w:szCs w:val="32"/>
    </w:rPr>
  </w:style>
  <w:style w:type="character" w:customStyle="1" w:styleId="Heading2Char">
    <w:name w:val="Heading 2 Char"/>
    <w:link w:val="Heading2"/>
    <w:rsid w:val="003A0CBA"/>
    <w:rPr>
      <w:rFonts w:ascii="Calibri Light" w:hAnsi="Calibri Light"/>
      <w:b/>
      <w:bCs/>
      <w:i/>
      <w:iCs/>
      <w:sz w:val="28"/>
      <w:szCs w:val="28"/>
      <w:lang w:val="bs-Latn-BA"/>
    </w:rPr>
  </w:style>
  <w:style w:type="character" w:customStyle="1" w:styleId="Heading5Char">
    <w:name w:val="Heading 5 Char"/>
    <w:link w:val="Heading5"/>
    <w:rsid w:val="003A0CBA"/>
    <w:rPr>
      <w:b/>
      <w:bCs/>
      <w:sz w:val="24"/>
      <w:szCs w:val="24"/>
      <w:lang w:eastAsia="ar-SA"/>
    </w:rPr>
  </w:style>
  <w:style w:type="paragraph" w:styleId="TOC1">
    <w:name w:val="toc 1"/>
    <w:basedOn w:val="Normal"/>
    <w:next w:val="Normal"/>
    <w:autoRedefine/>
    <w:uiPriority w:val="39"/>
    <w:unhideWhenUsed/>
    <w:qFormat/>
    <w:rsid w:val="003A0CBA"/>
    <w:pPr>
      <w:tabs>
        <w:tab w:val="right" w:leader="dot" w:pos="9060"/>
      </w:tabs>
      <w:spacing w:after="0" w:line="360" w:lineRule="auto"/>
    </w:pPr>
    <w:rPr>
      <w:rFonts w:ascii="Times New Roman" w:hAnsi="Times New Roman"/>
      <w:sz w:val="24"/>
      <w:szCs w:val="24"/>
      <w:lang w:eastAsia="bs-Latn-BA"/>
    </w:rPr>
  </w:style>
  <w:style w:type="paragraph" w:styleId="TOC2">
    <w:name w:val="toc 2"/>
    <w:basedOn w:val="Normal"/>
    <w:next w:val="Normal"/>
    <w:autoRedefine/>
    <w:uiPriority w:val="39"/>
    <w:unhideWhenUsed/>
    <w:qFormat/>
    <w:rsid w:val="003A0CBA"/>
    <w:pPr>
      <w:tabs>
        <w:tab w:val="right" w:leader="dot" w:pos="9060"/>
      </w:tabs>
      <w:spacing w:after="0" w:line="360" w:lineRule="auto"/>
      <w:ind w:left="240"/>
      <w:jc w:val="both"/>
    </w:pPr>
    <w:rPr>
      <w:rFonts w:ascii="Times New Roman" w:hAnsi="Times New Roman"/>
      <w:noProof/>
      <w:sz w:val="24"/>
      <w:szCs w:val="24"/>
      <w:lang w:eastAsia="bs-Latn-BA"/>
    </w:rPr>
  </w:style>
  <w:style w:type="paragraph" w:styleId="TOC3">
    <w:name w:val="toc 3"/>
    <w:basedOn w:val="Normal"/>
    <w:next w:val="Normal"/>
    <w:autoRedefine/>
    <w:uiPriority w:val="39"/>
    <w:unhideWhenUsed/>
    <w:qFormat/>
    <w:rsid w:val="003A0CBA"/>
    <w:pPr>
      <w:tabs>
        <w:tab w:val="right" w:leader="dot" w:pos="9060"/>
      </w:tabs>
      <w:spacing w:before="240" w:after="0" w:line="360" w:lineRule="auto"/>
      <w:ind w:left="502"/>
      <w:jc w:val="both"/>
    </w:pPr>
    <w:rPr>
      <w:rFonts w:ascii="Times New Roman" w:hAnsi="Times New Roman"/>
      <w:sz w:val="24"/>
      <w:szCs w:val="24"/>
      <w:lang w:eastAsia="bs-Latn-BA"/>
    </w:rPr>
  </w:style>
  <w:style w:type="paragraph" w:styleId="Subtitle">
    <w:name w:val="Subtitle"/>
    <w:basedOn w:val="Normal"/>
    <w:next w:val="Normal"/>
    <w:link w:val="SubtitleChar"/>
    <w:qFormat/>
    <w:rsid w:val="003A0CBA"/>
    <w:pPr>
      <w:spacing w:after="60" w:line="360" w:lineRule="auto"/>
      <w:ind w:left="6"/>
      <w:jc w:val="center"/>
      <w:outlineLvl w:val="1"/>
    </w:pPr>
    <w:rPr>
      <w:rFonts w:ascii="Cambria" w:hAnsi="Cambria"/>
      <w:sz w:val="24"/>
      <w:szCs w:val="24"/>
      <w:lang w:val="en-US"/>
    </w:rPr>
  </w:style>
  <w:style w:type="character" w:customStyle="1" w:styleId="SubtitleChar">
    <w:name w:val="Subtitle Char"/>
    <w:link w:val="Subtitle"/>
    <w:rsid w:val="003A0CBA"/>
    <w:rPr>
      <w:rFonts w:ascii="Cambria" w:hAnsi="Cambria"/>
      <w:sz w:val="24"/>
      <w:szCs w:val="24"/>
      <w:lang w:val="en-US"/>
    </w:rPr>
  </w:style>
  <w:style w:type="character" w:styleId="Strong">
    <w:name w:val="Strong"/>
    <w:uiPriority w:val="22"/>
    <w:qFormat/>
    <w:rsid w:val="003A0CBA"/>
    <w:rPr>
      <w:b/>
      <w:bCs/>
    </w:rPr>
  </w:style>
  <w:style w:type="character" w:styleId="Emphasis">
    <w:name w:val="Emphasis"/>
    <w:uiPriority w:val="20"/>
    <w:qFormat/>
    <w:rsid w:val="003A0CBA"/>
    <w:rPr>
      <w:i/>
      <w:iCs/>
    </w:rPr>
  </w:style>
  <w:style w:type="paragraph" w:styleId="NoSpacing">
    <w:name w:val="No Spacing"/>
    <w:uiPriority w:val="1"/>
    <w:qFormat/>
    <w:rsid w:val="003A0CBA"/>
    <w:rPr>
      <w:rFonts w:ascii="Calibri" w:eastAsia="Calibri" w:hAnsi="Calibri"/>
      <w:sz w:val="22"/>
      <w:szCs w:val="22"/>
    </w:rPr>
  </w:style>
  <w:style w:type="paragraph" w:styleId="ListParagraph">
    <w:name w:val="List Paragraph"/>
    <w:basedOn w:val="Normal"/>
    <w:uiPriority w:val="34"/>
    <w:qFormat/>
    <w:rsid w:val="003A0CBA"/>
    <w:pPr>
      <w:spacing w:after="0" w:line="240" w:lineRule="auto"/>
      <w:ind w:left="708"/>
    </w:pPr>
    <w:rPr>
      <w:rFonts w:ascii="Times New Roman" w:hAnsi="Times New Roman"/>
      <w:sz w:val="24"/>
      <w:szCs w:val="24"/>
      <w:lang w:val="en-US"/>
    </w:rPr>
  </w:style>
  <w:style w:type="paragraph" w:customStyle="1" w:styleId="Default">
    <w:name w:val="Default"/>
    <w:rsid w:val="00252C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5870">
      <w:bodyDiv w:val="1"/>
      <w:marLeft w:val="0"/>
      <w:marRight w:val="0"/>
      <w:marTop w:val="0"/>
      <w:marBottom w:val="0"/>
      <w:divBdr>
        <w:top w:val="none" w:sz="0" w:space="0" w:color="auto"/>
        <w:left w:val="none" w:sz="0" w:space="0" w:color="auto"/>
        <w:bottom w:val="none" w:sz="0" w:space="0" w:color="auto"/>
        <w:right w:val="none" w:sz="0" w:space="0" w:color="auto"/>
      </w:divBdr>
    </w:div>
    <w:div w:id="1728840927">
      <w:bodyDiv w:val="1"/>
      <w:marLeft w:val="0"/>
      <w:marRight w:val="0"/>
      <w:marTop w:val="0"/>
      <w:marBottom w:val="0"/>
      <w:divBdr>
        <w:top w:val="none" w:sz="0" w:space="0" w:color="auto"/>
        <w:left w:val="none" w:sz="0" w:space="0" w:color="auto"/>
        <w:bottom w:val="none" w:sz="0" w:space="0" w:color="auto"/>
        <w:right w:val="none" w:sz="0" w:space="0" w:color="auto"/>
      </w:divBdr>
    </w:div>
    <w:div w:id="18946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dcterms:created xsi:type="dcterms:W3CDTF">2020-04-03T08:47:00Z</dcterms:created>
  <dcterms:modified xsi:type="dcterms:W3CDTF">2020-04-03T08:47:00Z</dcterms:modified>
</cp:coreProperties>
</file>