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995"/>
        <w:gridCol w:w="2682"/>
        <w:gridCol w:w="2694"/>
      </w:tblGrid>
      <w:tr w:rsidR="00965268" w:rsidRPr="000D7E4D" w:rsidTr="004F3F08">
        <w:trPr>
          <w:trHeight w:val="293"/>
          <w:jc w:val="center"/>
        </w:trPr>
        <w:tc>
          <w:tcPr>
            <w:tcW w:w="2689" w:type="dxa"/>
          </w:tcPr>
          <w:p w:rsidR="00965268" w:rsidRPr="000D7E4D" w:rsidRDefault="00965268" w:rsidP="00030B7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code: </w:t>
            </w:r>
          </w:p>
          <w:p w:rsidR="00965268" w:rsidRPr="000D7E4D" w:rsidRDefault="00884D2F" w:rsidP="00030B7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FFS50</w:t>
            </w:r>
          </w:p>
        </w:tc>
        <w:tc>
          <w:tcPr>
            <w:tcW w:w="7371" w:type="dxa"/>
            <w:gridSpan w:val="3"/>
            <w:vAlign w:val="center"/>
          </w:tcPr>
          <w:p w:rsidR="00965268" w:rsidRPr="000D7E4D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title: </w:t>
            </w:r>
          </w:p>
          <w:p w:rsidR="00965268" w:rsidRPr="000D7E4D" w:rsidRDefault="00884D2F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PHARMACOKINETICS</w:t>
            </w:r>
          </w:p>
        </w:tc>
      </w:tr>
      <w:tr w:rsidR="00965268" w:rsidRPr="000D7E4D" w:rsidTr="004F3F08">
        <w:trPr>
          <w:trHeight w:val="495"/>
          <w:jc w:val="center"/>
        </w:trPr>
        <w:tc>
          <w:tcPr>
            <w:tcW w:w="2689" w:type="dxa"/>
          </w:tcPr>
          <w:p w:rsidR="004F3F08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Level: </w:t>
            </w:r>
          </w:p>
          <w:p w:rsidR="00965268" w:rsidRPr="000D7E4D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1995" w:type="dxa"/>
          </w:tcPr>
          <w:p w:rsidR="00965268" w:rsidRPr="000D7E4D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Year: </w:t>
            </w:r>
          </w:p>
          <w:p w:rsidR="00965268" w:rsidRPr="000D7E4D" w:rsidRDefault="00884D2F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65268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2682" w:type="dxa"/>
          </w:tcPr>
          <w:p w:rsidR="00965268" w:rsidRPr="000D7E4D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</w:t>
            </w:r>
          </w:p>
          <w:p w:rsidR="00965268" w:rsidRPr="000D7E4D" w:rsidRDefault="00884D2F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694" w:type="dxa"/>
          </w:tcPr>
          <w:p w:rsidR="00965268" w:rsidRPr="000D7E4D" w:rsidRDefault="00965268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 credits:</w:t>
            </w:r>
          </w:p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44DD" w:rsidRPr="000D7E4D" w:rsidTr="004F3F08">
        <w:trPr>
          <w:trHeight w:val="495"/>
          <w:jc w:val="center"/>
        </w:trPr>
        <w:tc>
          <w:tcPr>
            <w:tcW w:w="2689" w:type="dxa"/>
          </w:tcPr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Obligatory</w:t>
            </w:r>
          </w:p>
        </w:tc>
        <w:tc>
          <w:tcPr>
            <w:tcW w:w="4677" w:type="dxa"/>
            <w:gridSpan w:val="2"/>
          </w:tcPr>
          <w:p w:rsidR="00FD5E8F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Number of hours weekly: </w:t>
            </w:r>
          </w:p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2+2</w:t>
            </w:r>
          </w:p>
        </w:tc>
        <w:tc>
          <w:tcPr>
            <w:tcW w:w="2694" w:type="dxa"/>
          </w:tcPr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hours of teaching: 60</w:t>
            </w:r>
          </w:p>
        </w:tc>
      </w:tr>
      <w:tr w:rsidR="000B44DD" w:rsidRPr="000D7E4D" w:rsidTr="004F3F08">
        <w:trPr>
          <w:trHeight w:val="495"/>
          <w:jc w:val="center"/>
        </w:trPr>
        <w:tc>
          <w:tcPr>
            <w:tcW w:w="2689" w:type="dxa"/>
          </w:tcPr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staff:</w:t>
            </w:r>
          </w:p>
        </w:tc>
        <w:tc>
          <w:tcPr>
            <w:tcW w:w="7371" w:type="dxa"/>
            <w:gridSpan w:val="3"/>
          </w:tcPr>
          <w:p w:rsidR="000B44DD" w:rsidRPr="000D7E4D" w:rsidRDefault="000B44DD" w:rsidP="00030B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Selma </w:t>
            </w:r>
            <w:proofErr w:type="spellStart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Škrbo</w:t>
            </w:r>
            <w:proofErr w:type="spellEnd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, PhD, associate professor</w:t>
            </w:r>
          </w:p>
          <w:p w:rsidR="000B44DD" w:rsidRPr="000D7E4D" w:rsidRDefault="000B44DD" w:rsidP="00030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Naida </w:t>
            </w:r>
            <w:proofErr w:type="spellStart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Omerović</w:t>
            </w:r>
            <w:proofErr w:type="spellEnd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MPharm</w:t>
            </w:r>
            <w:proofErr w:type="spellEnd"/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, teaching and research assistant</w:t>
            </w:r>
          </w:p>
        </w:tc>
      </w:tr>
      <w:tr w:rsidR="00965268" w:rsidRPr="000D7E4D" w:rsidTr="004F3F08">
        <w:trPr>
          <w:trHeight w:val="477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965268" w:rsidRPr="000D7E4D" w:rsidRDefault="00965268" w:rsidP="00030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 xml:space="preserve">1. </w:t>
            </w: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objectives</w:t>
            </w:r>
            <w:r w:rsidR="00D4558C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884D2F" w:rsidRPr="000D7E4D" w:rsidRDefault="00FD5E8F" w:rsidP="00030B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Introducing students to </w:t>
            </w:r>
            <w:r w:rsidR="00D76C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pharmacokinetic processes that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drug</w:t>
            </w:r>
            <w:r w:rsidR="00D76C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s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undergo after </w:t>
            </w:r>
            <w:r w:rsidR="00D76C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their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administration: absorption, distribution, </w:t>
            </w:r>
            <w:r w:rsidR="00D76C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metabolism and elimination and</w:t>
            </w:r>
            <w:r w:rsidR="00886AF8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factors</w:t>
            </w:r>
            <w:r w:rsidR="00BE1ED3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</w:t>
            </w:r>
            <w:r w:rsidR="00D76C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altering the</w:t>
            </w:r>
            <w:r w:rsidR="007C16E7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m </w:t>
            </w:r>
            <w:r w:rsidR="00BE1ED3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(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factors of a drug and factors of an organism</w:t>
            </w:r>
            <w:r w:rsidR="00BE1ED3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)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, mathematical treatment of drug blood </w:t>
            </w:r>
            <w:r w:rsidR="009D7439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level–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time</w:t>
            </w:r>
            <w:r w:rsidR="009D7439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data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: calculations of pharmacokinetic parameters using a model-dependent and a model-independent approach, d</w:t>
            </w:r>
            <w:r w:rsidR="00567578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esign of 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 dosage regimen while ensuring high-quality, safe and effective pharmacotherapy, concept of bioavailability and bioequivalence</w:t>
            </w:r>
            <w:r w:rsidR="00421EE9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: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method</w:t>
            </w:r>
            <w:r w:rsidR="00804985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s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of bioavailability assess</w:t>
            </w:r>
            <w:r w:rsidR="006A7789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ment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and </w:t>
            </w:r>
            <w:r w:rsidR="00387A6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its 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relevance </w:t>
            </w:r>
            <w:r w:rsidR="00387A6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to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development of new drugs and new dosage forms.</w:t>
            </w:r>
          </w:p>
        </w:tc>
      </w:tr>
      <w:tr w:rsidR="00965268" w:rsidRPr="000D7E4D" w:rsidTr="006E6F05">
        <w:trPr>
          <w:trHeight w:val="3556"/>
          <w:jc w:val="center"/>
        </w:trPr>
        <w:tc>
          <w:tcPr>
            <w:tcW w:w="10060" w:type="dxa"/>
            <w:gridSpan w:val="4"/>
            <w:tcBorders>
              <w:bottom w:val="nil"/>
            </w:tcBorders>
            <w:vAlign w:val="center"/>
          </w:tcPr>
          <w:p w:rsidR="00965268" w:rsidRPr="000D7E4D" w:rsidRDefault="00850A54" w:rsidP="0003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1.1. </w:t>
            </w:r>
            <w:r w:rsidR="00965268"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Curriculum</w:t>
            </w:r>
            <w:r w:rsidR="00D4558C"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965268" w:rsidRPr="000D7E4D" w:rsidRDefault="00965268" w:rsidP="00030B7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a) Lectures</w:t>
            </w:r>
            <w:r w:rsidR="00D4558C"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4D2F" w:rsidRPr="000D7E4D" w:rsidRDefault="00884D2F" w:rsidP="00030B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pharmacokinetics. Place of pharmacokinetics in modern </w:t>
            </w:r>
            <w:r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science. Routes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of drug administration. Factors altering drug absorption. </w:t>
            </w:r>
            <w:r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Methods of drug lipophilicity and </w:t>
            </w:r>
            <w:r w:rsidR="00613489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drug </w:t>
            </w:r>
            <w:r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permeability testing. Gastrointestinal drug absorption. Drug distribution. </w:t>
            </w:r>
            <w:r w:rsidR="00DD62D7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Drug biotransformation and </w:t>
            </w:r>
            <w:r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drug elimination. 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Renal drug excretion. Non</w:t>
            </w:r>
            <w:r w:rsidR="0001474B" w:rsidRPr="000D7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renal drug excretion. Compartmental (model-dependent) pharmacokinetic analysis: one-</w:t>
            </w:r>
            <w:r w:rsidR="0001474B"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compartment 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and two-compartment models. Non</w:t>
            </w:r>
            <w:r w:rsidR="0001474B" w:rsidRPr="000D7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compartmental (model-independent) pharmacokinetic analysis. Pharmacokinetics of multiple dosing. Non</w:t>
            </w:r>
            <w:r w:rsidR="0001474B" w:rsidRPr="000D7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linear pharmacokinetics. Dosage regimen design and dose adjustment. Therapeutic drug monitoring. Bioavailability</w:t>
            </w:r>
            <w:r w:rsidR="0001474B"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bioequivalence. Biopharmaceutical drug classification</w:t>
            </w:r>
            <w:r w:rsidR="0008289A"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E4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C51D9A" w:rsidRPr="000D7E4D">
              <w:rPr>
                <w:rFonts w:ascii="Times New Roman" w:hAnsi="Times New Roman" w:cs="Times New Roman"/>
                <w:i/>
                <w:sz w:val="24"/>
                <w:szCs w:val="24"/>
              </w:rPr>
              <w:t>n vitro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56C7" w:rsidRPr="000D7E4D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C51D9A" w:rsidRPr="000D7E4D">
              <w:rPr>
                <w:rFonts w:ascii="Times New Roman" w:hAnsi="Times New Roman" w:cs="Times New Roman"/>
                <w:i/>
                <w:sz w:val="24"/>
                <w:szCs w:val="24"/>
              </w:rPr>
              <w:t>n vivo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correlation.</w:t>
            </w:r>
          </w:p>
          <w:p w:rsidR="00FD5E8F" w:rsidRPr="000D7E4D" w:rsidRDefault="00965268" w:rsidP="00030B70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b) </w:t>
            </w:r>
            <w:r w:rsidR="00FD5E8F"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Practical work</w:t>
            </w:r>
            <w:r w:rsidR="00D4558C" w:rsidRPr="000D7E4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965268" w:rsidRPr="000D7E4D" w:rsidRDefault="00884D2F" w:rsidP="00030B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Exponents and logarithms, calculus</w:t>
            </w:r>
            <w:r w:rsidR="007D4AD9"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graphs. Rates and orders of reactions. Compartmental (model-dependent) pharmacokinetic analysis: one-compartment model, intravascular route of drug administration. Compartmental (model-dependent) pharmacokinetic analysis: one-compartment model, extravascular route of drug administration. Compartmental (model-dependent) pharmacokinetic analysis: two-compartment model, intravascular route of drug administration. Compartmental (model-dependent) pharmacokinetic analysis: two-compartment model, extravascular route of drug administration. Calculation</w:t>
            </w:r>
            <w:r w:rsidR="008078C8" w:rsidRPr="000D7E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of pharmacokinetic parameters from urinary excretion data. Intravenous infusion. Non</w:t>
            </w:r>
            <w:r w:rsidR="008078C8" w:rsidRPr="000D7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compartmental (model-independent) pharmacokinetic analysis. Bioavailability</w:t>
            </w:r>
            <w:r w:rsidR="008078C8"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bioequivalence.</w:t>
            </w:r>
          </w:p>
        </w:tc>
      </w:tr>
      <w:tr w:rsidR="00965268" w:rsidRPr="000D7E4D" w:rsidTr="004F3F08">
        <w:trPr>
          <w:trHeight w:val="972"/>
          <w:jc w:val="center"/>
        </w:trPr>
        <w:tc>
          <w:tcPr>
            <w:tcW w:w="2689" w:type="dxa"/>
          </w:tcPr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>1</w:t>
            </w:r>
            <w:r w:rsidRPr="000D7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>.2.</w:t>
            </w:r>
            <w:r w:rsidR="00986719" w:rsidRPr="000D7E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HR"/>
              </w:rPr>
              <w:t xml:space="preserve"> </w:t>
            </w: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</w:t>
            </w:r>
            <w:r w:rsidR="00D4558C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965268" w:rsidRPr="000D7E4D" w:rsidRDefault="001B6D63" w:rsidP="0003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eastAsia="bs-Latn-BA"/>
              </w:rPr>
            </w:pPr>
            <w:r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Students are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expected to understand </w:t>
            </w:r>
            <w:r w:rsidR="00BE68E4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the </w:t>
            </w:r>
            <w:r w:rsidR="006179B1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following: 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basic</w:t>
            </w:r>
            <w:r w:rsidR="0079318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principle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s of pharmacokinetic processes and factors</w:t>
            </w:r>
            <w:r w:rsidR="001A4F41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altering them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, </w:t>
            </w:r>
            <w:r w:rsidR="00F10D21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different </w:t>
            </w:r>
            <w:r w:rsidR="00991147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methods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of pharmacokinetic analysis, factors </w:t>
            </w:r>
            <w:r w:rsidR="00EE1963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affecting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pharmacologic</w:t>
            </w:r>
            <w:r w:rsidR="00492D2C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al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response, methods of bioavailability assess</w:t>
            </w:r>
            <w:r w:rsidR="00810E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ment</w:t>
            </w:r>
            <w:r w:rsidR="006F374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and </w:t>
            </w:r>
            <w:r w:rsidR="00810E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pharmacokinetic drug</w:t>
            </w:r>
            <w:r w:rsidR="00316CF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interactions and </w:t>
            </w:r>
            <w:r w:rsidR="00810E3B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adverse</w:t>
            </w:r>
            <w:r w:rsidR="001A34D5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drug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</w:t>
            </w:r>
            <w:r w:rsidR="00316CF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reactions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occur</w:t>
            </w:r>
            <w:r w:rsidR="00BA572A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r</w:t>
            </w:r>
            <w:r w:rsidR="00316CF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ing</w:t>
            </w:r>
            <w:r w:rsidR="00884D2F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</w:t>
            </w:r>
            <w:r w:rsidR="00FA0F35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during</w:t>
            </w:r>
            <w:r w:rsidR="00316CF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 concomitant drug </w:t>
            </w:r>
            <w:r w:rsidR="00FA0F35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>therapy</w:t>
            </w:r>
            <w:r w:rsidR="00316CF6" w:rsidRPr="000D7E4D">
              <w:rPr>
                <w:rFonts w:ascii="Times New Roman" w:hAnsi="Times New Roman" w:cs="Times New Roman"/>
                <w:color w:val="222222"/>
                <w:sz w:val="24"/>
                <w:szCs w:val="24"/>
                <w:lang w:val="en" w:eastAsia="bs-Latn-BA"/>
              </w:rPr>
              <w:t xml:space="preserve">. </w:t>
            </w:r>
          </w:p>
        </w:tc>
      </w:tr>
      <w:tr w:rsidR="00965268" w:rsidRPr="000D7E4D" w:rsidTr="006E6F05">
        <w:trPr>
          <w:trHeight w:val="311"/>
          <w:jc w:val="center"/>
        </w:trPr>
        <w:tc>
          <w:tcPr>
            <w:tcW w:w="10060" w:type="dxa"/>
            <w:gridSpan w:val="4"/>
            <w:vAlign w:val="center"/>
          </w:tcPr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 </w:t>
            </w: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</w:t>
            </w:r>
            <w:r w:rsidR="00850A54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  <w:r w:rsidR="00D4558C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65268" w:rsidRPr="000D7E4D" w:rsidTr="004F3F08">
        <w:trPr>
          <w:trHeight w:val="605"/>
          <w:jc w:val="center"/>
        </w:trPr>
        <w:tc>
          <w:tcPr>
            <w:tcW w:w="2689" w:type="dxa"/>
          </w:tcPr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lastRenderedPageBreak/>
              <w:t xml:space="preserve">2.1. </w:t>
            </w: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 the course</w:t>
            </w:r>
            <w:r w:rsidR="00D4558C"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 xml:space="preserve">1. </w:t>
            </w:r>
            <w:r w:rsidR="00FD5E8F" w:rsidRPr="000D7E4D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>Lectures</w:t>
            </w:r>
          </w:p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 xml:space="preserve">2. </w:t>
            </w:r>
            <w:r w:rsidR="00FD5E8F" w:rsidRPr="000D7E4D"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  <w:t>Practical work</w:t>
            </w:r>
          </w:p>
        </w:tc>
        <w:tc>
          <w:tcPr>
            <w:tcW w:w="2694" w:type="dxa"/>
            <w:vAlign w:val="center"/>
          </w:tcPr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1. 50%</w:t>
            </w:r>
          </w:p>
          <w:p w:rsidR="00965268" w:rsidRPr="000D7E4D" w:rsidRDefault="00965268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2. 50%</w:t>
            </w:r>
          </w:p>
        </w:tc>
      </w:tr>
      <w:tr w:rsidR="006E6F05" w:rsidRPr="000D7E4D" w:rsidTr="004F3F08">
        <w:trPr>
          <w:trHeight w:val="605"/>
          <w:jc w:val="center"/>
        </w:trPr>
        <w:tc>
          <w:tcPr>
            <w:tcW w:w="2689" w:type="dxa"/>
          </w:tcPr>
          <w:p w:rsidR="006E6F05" w:rsidRPr="000D7E4D" w:rsidRDefault="006E6F05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2.2. </w:t>
            </w:r>
            <w:r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Grading</w:t>
            </w:r>
            <w:r w:rsidR="00D4558C"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B40C89" w:rsidRPr="000D7E4D" w:rsidRDefault="00B40C89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  <w:lang w:val="hr-BA"/>
              </w:rPr>
              <w:t xml:space="preserve">1. </w:t>
            </w: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Two practical laboratory colloquiums</w:t>
            </w:r>
          </w:p>
          <w:p w:rsidR="00B40C89" w:rsidRPr="000D7E4D" w:rsidRDefault="00B40C89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 xml:space="preserve">2. Practical knowledge assessment </w:t>
            </w:r>
          </w:p>
          <w:p w:rsidR="006E6F05" w:rsidRPr="000D7E4D" w:rsidRDefault="00B40C89" w:rsidP="00760271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iCs/>
                <w:caps/>
                <w:color w:val="000000"/>
                <w:sz w:val="24"/>
                <w:szCs w:val="24"/>
                <w:lang w:val="hr-BA"/>
              </w:rPr>
              <w:t xml:space="preserve">3. </w:t>
            </w:r>
            <w:r w:rsidR="00760271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Two term exams</w:t>
            </w:r>
          </w:p>
        </w:tc>
        <w:tc>
          <w:tcPr>
            <w:tcW w:w="2694" w:type="dxa"/>
          </w:tcPr>
          <w:p w:rsidR="006E6F05" w:rsidRPr="000D7E4D" w:rsidRDefault="006E6F05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1</w:t>
            </w:r>
            <w:r w:rsidR="00884D2F"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. 1</w:t>
            </w: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0%</w:t>
            </w:r>
          </w:p>
          <w:p w:rsidR="00884D2F" w:rsidRPr="000D7E4D" w:rsidRDefault="00884D2F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2. 10%</w:t>
            </w:r>
          </w:p>
          <w:p w:rsidR="006E6F05" w:rsidRPr="000D7E4D" w:rsidRDefault="00884D2F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3</w:t>
            </w:r>
            <w:r w:rsidR="006E6F05" w:rsidRPr="000D7E4D"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  <w:t>. 80%</w:t>
            </w:r>
          </w:p>
        </w:tc>
      </w:tr>
      <w:tr w:rsidR="006E6F05" w:rsidRPr="000D7E4D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6E6F05" w:rsidRPr="000D7E4D" w:rsidRDefault="006E6F05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 w:eastAsia="hr-HR"/>
              </w:rPr>
              <w:t xml:space="preserve">3. </w:t>
            </w:r>
            <w:r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5603CF"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iterature</w:t>
            </w:r>
            <w:r w:rsidR="00D4558C" w:rsidRPr="000D7E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0A54" w:rsidRPr="000D7E4D" w:rsidTr="006E6F05">
        <w:trPr>
          <w:trHeight w:val="312"/>
          <w:jc w:val="center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850A54" w:rsidRPr="000D7E4D" w:rsidRDefault="00850A54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Mandatory:</w:t>
            </w:r>
          </w:p>
          <w:p w:rsidR="00CC1334" w:rsidRPr="000D7E4D" w:rsidRDefault="00D4558C" w:rsidP="00030B70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</w:t>
            </w:r>
            <w:r w:rsidR="00850A54" w:rsidRPr="000D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presentations, different handouts</w:t>
            </w:r>
          </w:p>
          <w:p w:rsidR="00850A54" w:rsidRPr="000D7E4D" w:rsidRDefault="00CC1334" w:rsidP="00030B70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Shargel, L. and Yu, A. eds., (2015). Applied Biopharmaceutics and Pharmacokinetics. New York: McGraw-Hill.</w:t>
            </w:r>
          </w:p>
          <w:p w:rsidR="00225C6D" w:rsidRPr="000D7E4D" w:rsidRDefault="00225C6D" w:rsidP="00030B70">
            <w:pPr>
              <w:pStyle w:val="ListParagraph"/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</w:p>
          <w:p w:rsidR="00850A54" w:rsidRPr="000D7E4D" w:rsidRDefault="00850A54" w:rsidP="00030B70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</w:pPr>
            <w:r w:rsidRPr="000D7E4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hr-BA" w:eastAsia="hr-HR"/>
              </w:rPr>
              <w:t>Additional:</w:t>
            </w:r>
          </w:p>
          <w:p w:rsidR="00850A54" w:rsidRPr="000D7E4D" w:rsidRDefault="00CC1334" w:rsidP="00030B70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r-BA"/>
              </w:rPr>
            </w:pP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>Persky, A.M. and Pollack, G.M. (2017). F</w:t>
            </w:r>
            <w:r w:rsidR="003E52A3" w:rsidRPr="000D7E4D">
              <w:rPr>
                <w:rFonts w:ascii="Times New Roman" w:hAnsi="Times New Roman" w:cs="Times New Roman"/>
                <w:sz w:val="24"/>
                <w:szCs w:val="24"/>
              </w:rPr>
              <w:t>oundations in Pharmacokinetics.</w:t>
            </w:r>
            <w:r w:rsidRPr="000D7E4D">
              <w:rPr>
                <w:rFonts w:ascii="Times New Roman" w:hAnsi="Times New Roman" w:cs="Times New Roman"/>
                <w:sz w:val="24"/>
                <w:szCs w:val="24"/>
              </w:rPr>
              <w:t xml:space="preserve"> Chappel Hill: the </w:t>
            </w:r>
            <w:r w:rsidRPr="000D7E4D">
              <w:rPr>
                <w:rFonts w:ascii="Times New Roman" w:hAnsi="Times New Roman" w:cs="Times New Roman"/>
                <w:color w:val="1D1D1F"/>
                <w:sz w:val="24"/>
                <w:szCs w:val="24"/>
                <w:shd w:val="clear" w:color="auto" w:fill="FFFFFF"/>
              </w:rPr>
              <w:t>University of North Carolina at Chapel Hill Eshelman School of Pharmacy.</w:t>
            </w:r>
          </w:p>
        </w:tc>
      </w:tr>
    </w:tbl>
    <w:p w:rsidR="001531F5" w:rsidRPr="000D7E4D" w:rsidRDefault="00332886" w:rsidP="00030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F5" w:rsidRPr="000D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114"/>
    <w:multiLevelType w:val="hybridMultilevel"/>
    <w:tmpl w:val="C5864F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5DFC"/>
    <w:multiLevelType w:val="hybridMultilevel"/>
    <w:tmpl w:val="C83670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CE3"/>
    <w:multiLevelType w:val="hybridMultilevel"/>
    <w:tmpl w:val="6694C0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FF6"/>
    <w:multiLevelType w:val="hybridMultilevel"/>
    <w:tmpl w:val="8EA035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5091"/>
    <w:multiLevelType w:val="hybridMultilevel"/>
    <w:tmpl w:val="26A29F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0A9A"/>
    <w:multiLevelType w:val="hybridMultilevel"/>
    <w:tmpl w:val="49B2BB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97A2F"/>
    <w:multiLevelType w:val="hybridMultilevel"/>
    <w:tmpl w:val="3CFA96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D367B"/>
    <w:multiLevelType w:val="hybridMultilevel"/>
    <w:tmpl w:val="8CCC19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3MDIyNzE2NDM3MTVS0lEKTi0uzszPAymwqAUAuVKPPCwAAAA="/>
  </w:docVars>
  <w:rsids>
    <w:rsidRoot w:val="00965268"/>
    <w:rsid w:val="0001474B"/>
    <w:rsid w:val="00030B70"/>
    <w:rsid w:val="00063A5C"/>
    <w:rsid w:val="0008289A"/>
    <w:rsid w:val="000B44DD"/>
    <w:rsid w:val="000D7E4D"/>
    <w:rsid w:val="001304FC"/>
    <w:rsid w:val="001A34D5"/>
    <w:rsid w:val="001A4F41"/>
    <w:rsid w:val="001B6D63"/>
    <w:rsid w:val="00225C6D"/>
    <w:rsid w:val="002C4719"/>
    <w:rsid w:val="002E56C7"/>
    <w:rsid w:val="002F4901"/>
    <w:rsid w:val="00316CF6"/>
    <w:rsid w:val="00332886"/>
    <w:rsid w:val="00387A6F"/>
    <w:rsid w:val="003E52A3"/>
    <w:rsid w:val="00421EE9"/>
    <w:rsid w:val="00492D2C"/>
    <w:rsid w:val="004F3F08"/>
    <w:rsid w:val="005603CF"/>
    <w:rsid w:val="00567578"/>
    <w:rsid w:val="00613489"/>
    <w:rsid w:val="006179B1"/>
    <w:rsid w:val="006A0695"/>
    <w:rsid w:val="006A7789"/>
    <w:rsid w:val="006E6F05"/>
    <w:rsid w:val="006F3746"/>
    <w:rsid w:val="00760271"/>
    <w:rsid w:val="0079318B"/>
    <w:rsid w:val="007C16E7"/>
    <w:rsid w:val="007D4AD9"/>
    <w:rsid w:val="00804985"/>
    <w:rsid w:val="008078C8"/>
    <w:rsid w:val="00810E3B"/>
    <w:rsid w:val="00850A54"/>
    <w:rsid w:val="00884D2F"/>
    <w:rsid w:val="00886AF8"/>
    <w:rsid w:val="008C2329"/>
    <w:rsid w:val="00936003"/>
    <w:rsid w:val="00965268"/>
    <w:rsid w:val="00986719"/>
    <w:rsid w:val="00990D52"/>
    <w:rsid w:val="00991147"/>
    <w:rsid w:val="009D7439"/>
    <w:rsid w:val="00A60838"/>
    <w:rsid w:val="00AA10D4"/>
    <w:rsid w:val="00B40C89"/>
    <w:rsid w:val="00BA572A"/>
    <w:rsid w:val="00BC5657"/>
    <w:rsid w:val="00BE1ED3"/>
    <w:rsid w:val="00BE68E4"/>
    <w:rsid w:val="00BE6DF0"/>
    <w:rsid w:val="00C51D9A"/>
    <w:rsid w:val="00CC1334"/>
    <w:rsid w:val="00D4558C"/>
    <w:rsid w:val="00D76C3B"/>
    <w:rsid w:val="00DC3D26"/>
    <w:rsid w:val="00DD62D7"/>
    <w:rsid w:val="00E22D53"/>
    <w:rsid w:val="00E56CB9"/>
    <w:rsid w:val="00E94378"/>
    <w:rsid w:val="00EE0241"/>
    <w:rsid w:val="00EE1963"/>
    <w:rsid w:val="00F10D21"/>
    <w:rsid w:val="00F317DF"/>
    <w:rsid w:val="00FA0F35"/>
    <w:rsid w:val="00FD3250"/>
    <w:rsid w:val="00FD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EF9E7-A636-43F3-96BE-FF94D1D7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268"/>
    <w:pPr>
      <w:spacing w:after="200" w:line="276" w:lineRule="auto"/>
    </w:pPr>
    <w:rPr>
      <w:rFonts w:ascii="Arial" w:eastAsia="Times New Roman" w:hAnsi="Arial" w:cs="Arial"/>
      <w:lang w:val="en-US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68"/>
    <w:pPr>
      <w:spacing w:after="0" w:line="240" w:lineRule="auto"/>
    </w:pPr>
    <w:rPr>
      <w:rFonts w:ascii="Arial" w:eastAsia="Times New Roman" w:hAnsi="Arial" w:cs="Arial"/>
      <w:lang w:val="en-US" w:eastAsia="hr-BA"/>
    </w:rPr>
  </w:style>
  <w:style w:type="character" w:styleId="Hyperlink">
    <w:name w:val="Hyperlink"/>
    <w:basedOn w:val="DefaultParagraphFont"/>
    <w:uiPriority w:val="99"/>
    <w:unhideWhenUsed/>
    <w:rsid w:val="000B4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s-Latn-BA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E8F"/>
    <w:rPr>
      <w:rFonts w:ascii="Courier New" w:eastAsia="Times New Roman" w:hAnsi="Courier New" w:cs="Courier New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Omerović</dc:creator>
  <cp:keywords/>
  <dc:description/>
  <cp:lastModifiedBy>User</cp:lastModifiedBy>
  <cp:revision>2</cp:revision>
  <dcterms:created xsi:type="dcterms:W3CDTF">2020-04-04T06:35:00Z</dcterms:created>
  <dcterms:modified xsi:type="dcterms:W3CDTF">2020-04-04T06:35:00Z</dcterms:modified>
</cp:coreProperties>
</file>