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9"/>
        <w:gridCol w:w="1997"/>
        <w:gridCol w:w="2212"/>
        <w:gridCol w:w="2196"/>
      </w:tblGrid>
      <w:tr w:rsidR="00BA489E" w:rsidRPr="00F93147" w:rsidTr="00F93147">
        <w:trPr>
          <w:trHeight w:val="340"/>
        </w:trPr>
        <w:tc>
          <w:tcPr>
            <w:tcW w:w="2657" w:type="dxa"/>
            <w:gridSpan w:val="2"/>
            <w:vAlign w:val="center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bookmarkStart w:id="0" w:name="_GoBack"/>
            <w:bookmarkEnd w:id="0"/>
            <w:r w:rsidRPr="00F93147">
              <w:rPr>
                <w:rFonts w:asciiTheme="minorHAnsi" w:hAnsiTheme="minorHAnsi" w:cstheme="minorHAnsi"/>
                <w:lang w:val="bs-Latn-BA"/>
              </w:rPr>
              <w:t>Code: *</w:t>
            </w:r>
          </w:p>
        </w:tc>
        <w:tc>
          <w:tcPr>
            <w:tcW w:w="6585" w:type="dxa"/>
            <w:gridSpan w:val="3"/>
            <w:vAlign w:val="center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b/>
                <w:lang w:val="bs-Latn-BA"/>
              </w:rPr>
            </w:pPr>
            <w:r w:rsidRPr="00F93147">
              <w:rPr>
                <w:rFonts w:asciiTheme="minorHAnsi" w:hAnsiTheme="minorHAnsi" w:cstheme="minorHAnsi"/>
                <w:b/>
                <w:lang w:val="bs-Latn-BA"/>
              </w:rPr>
              <w:t>Name: SELECTED TOPIS IN QUALITY CONTROL OF MEDICINES - QUALITY CONTROL OF BORDERLINE MEDICINAL PRODUCTS</w:t>
            </w:r>
          </w:p>
        </w:tc>
      </w:tr>
      <w:tr w:rsidR="00BA489E" w:rsidRPr="00F93147" w:rsidTr="00F93147">
        <w:tc>
          <w:tcPr>
            <w:tcW w:w="2657" w:type="dxa"/>
            <w:gridSpan w:val="2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Level: Integrated study</w:t>
            </w:r>
          </w:p>
        </w:tc>
        <w:tc>
          <w:tcPr>
            <w:tcW w:w="2060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Year: The Fifth (V)</w:t>
            </w:r>
          </w:p>
        </w:tc>
        <w:tc>
          <w:tcPr>
            <w:tcW w:w="2256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Semester: Ninth (VII)</w:t>
            </w:r>
          </w:p>
        </w:tc>
        <w:tc>
          <w:tcPr>
            <w:tcW w:w="2269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ECTS Credits: 2 (two)</w:t>
            </w:r>
          </w:p>
        </w:tc>
      </w:tr>
      <w:tr w:rsidR="00BA489E" w:rsidRPr="00F93147" w:rsidTr="00F93147">
        <w:tc>
          <w:tcPr>
            <w:tcW w:w="2657" w:type="dxa"/>
            <w:gridSpan w:val="2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Status: Elective course</w:t>
            </w:r>
          </w:p>
        </w:tc>
        <w:tc>
          <w:tcPr>
            <w:tcW w:w="4316" w:type="dxa"/>
            <w:gridSpan w:val="2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 xml:space="preserve">Number of hours per week: 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Lectures (L)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Practical work (P)</w:t>
            </w:r>
          </w:p>
        </w:tc>
        <w:tc>
          <w:tcPr>
            <w:tcW w:w="2269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Total hours: 30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(L: 15; P: 15)</w:t>
            </w:r>
          </w:p>
        </w:tc>
      </w:tr>
      <w:tr w:rsidR="00BA489E" w:rsidRPr="00F93147" w:rsidTr="00F93147">
        <w:tc>
          <w:tcPr>
            <w:tcW w:w="2657" w:type="dxa"/>
            <w:gridSpan w:val="2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Teaching staff:</w:t>
            </w:r>
          </w:p>
        </w:tc>
        <w:tc>
          <w:tcPr>
            <w:tcW w:w="6585" w:type="dxa"/>
            <w:gridSpan w:val="3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 xml:space="preserve">Full professor </w:t>
            </w:r>
            <w:r w:rsidRPr="00F93147">
              <w:rPr>
                <w:rFonts w:asciiTheme="minorHAnsi" w:hAnsiTheme="minorHAnsi" w:cstheme="minorHAnsi"/>
              </w:rPr>
              <w:t xml:space="preserve">Miroslav </w:t>
            </w:r>
            <w:proofErr w:type="spellStart"/>
            <w:r w:rsidRPr="00F93147">
              <w:rPr>
                <w:rFonts w:asciiTheme="minorHAnsi" w:hAnsiTheme="minorHAnsi" w:cstheme="minorHAnsi"/>
              </w:rPr>
              <w:t>Šober</w:t>
            </w:r>
            <w:proofErr w:type="spellEnd"/>
            <w:r w:rsidRPr="00F93147">
              <w:rPr>
                <w:rFonts w:asciiTheme="minorHAnsi" w:hAnsiTheme="minorHAnsi" w:cstheme="minorHAnsi"/>
              </w:rPr>
              <w:t xml:space="preserve">, PhD. 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tel.+387 33 586 174</w:t>
            </w:r>
          </w:p>
          <w:p w:rsidR="00BA489E" w:rsidRPr="00F93147" w:rsidRDefault="00807189" w:rsidP="00F93147">
            <w:pPr>
              <w:rPr>
                <w:rFonts w:asciiTheme="minorHAnsi" w:hAnsiTheme="minorHAnsi" w:cstheme="minorHAnsi"/>
              </w:rPr>
            </w:pPr>
            <w:hyperlink r:id="rId5" w:history="1">
              <w:r w:rsidR="00BA489E" w:rsidRPr="00F93147">
                <w:rPr>
                  <w:rStyle w:val="Hyperlink"/>
                  <w:rFonts w:asciiTheme="minorHAnsi" w:hAnsiTheme="minorHAnsi" w:cstheme="minorHAnsi"/>
                </w:rPr>
                <w:t>miroslav.sober@ffsa.unsa.ba</w:t>
              </w:r>
            </w:hyperlink>
            <w:r w:rsidR="00BA489E" w:rsidRPr="00F93147">
              <w:rPr>
                <w:rFonts w:asciiTheme="minorHAnsi" w:hAnsiTheme="minorHAnsi" w:cstheme="minorHAnsi"/>
              </w:rPr>
              <w:t>)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</w:p>
          <w:p w:rsidR="00BA489E" w:rsidRPr="00F93147" w:rsidRDefault="003930DE" w:rsidP="00F93147">
            <w:pPr>
              <w:rPr>
                <w:rFonts w:asciiTheme="minorHAnsi" w:hAnsiTheme="minorHAnsi" w:cstheme="minorHAnsi"/>
              </w:rPr>
            </w:pPr>
            <w:r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Associate</w:t>
            </w:r>
            <w:r w:rsidR="00BA489E" w:rsidRPr="00F93147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 xml:space="preserve"> Professor</w:t>
            </w:r>
            <w:r w:rsidR="00BA489E" w:rsidRPr="00F93147" w:rsidDel="00143C64">
              <w:rPr>
                <w:rFonts w:asciiTheme="minorHAnsi" w:hAnsiTheme="minorHAnsi" w:cstheme="minorHAnsi"/>
                <w:lang w:val="bs-Latn-BA"/>
              </w:rPr>
              <w:t xml:space="preserve"> </w:t>
            </w:r>
            <w:proofErr w:type="spellStart"/>
            <w:r w:rsidR="00BA489E" w:rsidRPr="00F93147">
              <w:rPr>
                <w:rFonts w:asciiTheme="minorHAnsi" w:hAnsiTheme="minorHAnsi" w:cstheme="minorHAnsi"/>
              </w:rPr>
              <w:t>Ervina</w:t>
            </w:r>
            <w:proofErr w:type="spellEnd"/>
            <w:r w:rsidR="00BA489E" w:rsidRPr="00F931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489E" w:rsidRPr="00F93147">
              <w:rPr>
                <w:rFonts w:asciiTheme="minorHAnsi" w:hAnsiTheme="minorHAnsi" w:cstheme="minorHAnsi"/>
              </w:rPr>
              <w:t>Bečić</w:t>
            </w:r>
            <w:proofErr w:type="spellEnd"/>
            <w:r w:rsidR="00BA489E" w:rsidRPr="00F93147">
              <w:rPr>
                <w:rFonts w:asciiTheme="minorHAnsi" w:hAnsiTheme="minorHAnsi" w:cstheme="minorHAnsi"/>
              </w:rPr>
              <w:t>, PhD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tel. + 387 33 586 179; </w:t>
            </w:r>
          </w:p>
          <w:p w:rsidR="00BA489E" w:rsidRPr="00F93147" w:rsidRDefault="00807189" w:rsidP="00F93147">
            <w:pPr>
              <w:rPr>
                <w:rFonts w:asciiTheme="minorHAnsi" w:hAnsiTheme="minorHAnsi" w:cstheme="minorHAnsi"/>
              </w:rPr>
            </w:pPr>
            <w:hyperlink r:id="rId6" w:history="1">
              <w:r w:rsidR="00BA489E" w:rsidRPr="00F93147">
                <w:rPr>
                  <w:rFonts w:asciiTheme="minorHAnsi" w:hAnsiTheme="minorHAnsi" w:cstheme="minorHAnsi"/>
                </w:rPr>
                <w:t>ervina.becic@ffsa.unsa.ba</w:t>
              </w:r>
            </w:hyperlink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</w:p>
          <w:p w:rsidR="00BA489E" w:rsidRPr="00F93147" w:rsidRDefault="003930DE" w:rsidP="00F93147">
            <w:pPr>
              <w:rPr>
                <w:rFonts w:asciiTheme="minorHAnsi" w:hAnsiTheme="minorHAnsi" w:cstheme="minorHAnsi"/>
              </w:rPr>
            </w:pPr>
            <w:r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Associate</w:t>
            </w:r>
            <w:r w:rsidR="00BA489E" w:rsidRPr="00F93147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 xml:space="preserve"> Professor</w:t>
            </w:r>
            <w:r w:rsidR="00BA489E">
              <w:rPr>
                <w:rFonts w:asciiTheme="minorHAnsi" w:hAnsiTheme="minorHAnsi" w:cstheme="minorHAnsi"/>
                <w:lang w:val="bs-Latn-BA"/>
              </w:rPr>
              <w:t xml:space="preserve"> </w:t>
            </w:r>
            <w:proofErr w:type="spellStart"/>
            <w:r w:rsidR="00BA489E" w:rsidRPr="00F93147">
              <w:rPr>
                <w:rFonts w:asciiTheme="minorHAnsi" w:hAnsiTheme="minorHAnsi" w:cstheme="minorHAnsi"/>
              </w:rPr>
              <w:t>Belma</w:t>
            </w:r>
            <w:proofErr w:type="spellEnd"/>
            <w:r w:rsidR="00BA489E" w:rsidRPr="00F9314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489E" w:rsidRPr="00F93147">
              <w:rPr>
                <w:rFonts w:asciiTheme="minorHAnsi" w:hAnsiTheme="minorHAnsi" w:cstheme="minorHAnsi"/>
              </w:rPr>
              <w:t>Imamović</w:t>
            </w:r>
            <w:proofErr w:type="spellEnd"/>
            <w:r w:rsidR="00BA489E" w:rsidRPr="00F93147">
              <w:rPr>
                <w:rFonts w:asciiTheme="minorHAnsi" w:hAnsiTheme="minorHAnsi" w:cstheme="minorHAnsi"/>
              </w:rPr>
              <w:t>, PhD</w:t>
            </w:r>
          </w:p>
          <w:p w:rsidR="00BA489E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tel. +387 33 586 179; </w:t>
            </w:r>
          </w:p>
          <w:p w:rsidR="00BA489E" w:rsidRPr="00F93147" w:rsidRDefault="00807189" w:rsidP="00F93147">
            <w:pPr>
              <w:rPr>
                <w:rFonts w:asciiTheme="minorHAnsi" w:hAnsiTheme="minorHAnsi" w:cstheme="minorHAnsi"/>
              </w:rPr>
            </w:pPr>
            <w:hyperlink r:id="rId7" w:history="1">
              <w:r w:rsidR="00BA489E" w:rsidRPr="00F93147">
                <w:rPr>
                  <w:rStyle w:val="Hyperlink"/>
                  <w:rFonts w:asciiTheme="minorHAnsi" w:hAnsiTheme="minorHAnsi" w:cstheme="minorHAnsi"/>
                </w:rPr>
                <w:t>belma.imamovic@ffsa.unsa.ba</w:t>
              </w:r>
            </w:hyperlink>
          </w:p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noProof/>
              </w:rPr>
            </w:pPr>
            <w:r w:rsidRPr="00F93147">
              <w:rPr>
                <w:rFonts w:asciiTheme="minorHAnsi" w:hAnsiTheme="minorHAnsi" w:cstheme="minorHAnsi"/>
                <w:noProof/>
              </w:rPr>
              <w:t>Assistant</w:t>
            </w:r>
            <w:r w:rsidR="003930DE">
              <w:rPr>
                <w:rFonts w:asciiTheme="minorHAnsi" w:hAnsiTheme="minorHAnsi" w:cstheme="minorHAnsi"/>
                <w:noProof/>
              </w:rPr>
              <w:t xml:space="preserve"> professor</w:t>
            </w:r>
            <w:r w:rsidRPr="00F93147">
              <w:rPr>
                <w:rFonts w:asciiTheme="minorHAnsi" w:hAnsiTheme="minorHAnsi" w:cstheme="minorHAnsi"/>
                <w:noProof/>
              </w:rPr>
              <w:t xml:space="preserve"> Mirza Dedić</w:t>
            </w:r>
            <w:r w:rsidRPr="001D74F2">
              <w:rPr>
                <w:noProof/>
              </w:rPr>
              <w:t xml:space="preserve">, </w:t>
            </w:r>
            <w:r w:rsidR="003930DE">
              <w:rPr>
                <w:rFonts w:asciiTheme="minorHAnsi" w:hAnsiTheme="minorHAnsi" w:cstheme="minorHAnsi"/>
                <w:noProof/>
              </w:rPr>
              <w:t>PhD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tel. +387 33 586 179; </w:t>
            </w:r>
          </w:p>
          <w:p w:rsidR="00BA489E" w:rsidRPr="00F93147" w:rsidRDefault="00807189" w:rsidP="00F93147">
            <w:pPr>
              <w:rPr>
                <w:rFonts w:asciiTheme="minorHAnsi" w:hAnsiTheme="minorHAnsi" w:cstheme="minorHAnsi"/>
              </w:rPr>
            </w:pPr>
            <w:hyperlink r:id="rId8" w:history="1">
              <w:r w:rsidR="00BA489E" w:rsidRPr="00F93147">
                <w:rPr>
                  <w:rStyle w:val="Hyperlink"/>
                  <w:rFonts w:asciiTheme="minorHAnsi" w:hAnsiTheme="minorHAnsi" w:cstheme="minorHAnsi"/>
                </w:rPr>
                <w:t>mirza.dedic@ffsa.unsa.ba</w:t>
              </w:r>
            </w:hyperlink>
            <w:r w:rsidR="00BA489E" w:rsidRPr="00F93147">
              <w:rPr>
                <w:rFonts w:asciiTheme="minorHAnsi" w:hAnsiTheme="minorHAnsi" w:cstheme="minorHAnsi"/>
              </w:rPr>
              <w:t xml:space="preserve"> 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</w:p>
        </w:tc>
      </w:tr>
      <w:tr w:rsidR="00BA489E" w:rsidRPr="00F93147" w:rsidTr="00F93147">
        <w:tc>
          <w:tcPr>
            <w:tcW w:w="2657" w:type="dxa"/>
            <w:gridSpan w:val="2"/>
            <w:vAlign w:val="center"/>
          </w:tcPr>
          <w:p w:rsidR="00BA489E" w:rsidRPr="00F93147" w:rsidRDefault="00BA489E" w:rsidP="00F931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Course objectives</w:t>
            </w:r>
          </w:p>
        </w:tc>
        <w:tc>
          <w:tcPr>
            <w:tcW w:w="6585" w:type="dxa"/>
            <w:gridSpan w:val="3"/>
          </w:tcPr>
          <w:p w:rsidR="00BA489E" w:rsidRPr="00F93147" w:rsidRDefault="00BA489E" w:rsidP="00F93147">
            <w:pPr>
              <w:widowControl/>
              <w:shd w:val="clear" w:color="auto" w:fill="FFFFFF"/>
              <w:autoSpaceDE/>
              <w:autoSpaceDN/>
              <w:jc w:val="both"/>
              <w:textAlignment w:val="top"/>
              <w:rPr>
                <w:rFonts w:asciiTheme="minorHAnsi" w:eastAsia="Times New Roman" w:hAnsiTheme="minorHAnsi" w:cstheme="minorHAnsi"/>
                <w:color w:val="777777"/>
                <w:lang w:val="bs-Latn-BA" w:eastAsia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The aim of the quality control of borderline medicinal products course is to provide</w:t>
            </w:r>
            <w:r w:rsidRPr="00F93147" w:rsidDel="0059010A">
              <w:rPr>
                <w:rFonts w:asciiTheme="minorHAnsi" w:hAnsiTheme="minorHAnsi" w:cstheme="minorHAnsi"/>
                <w:lang w:val="bs-Latn-BA"/>
              </w:rPr>
              <w:t xml:space="preserve"> </w:t>
            </w:r>
            <w:r w:rsidRPr="00F93147">
              <w:rPr>
                <w:rFonts w:asciiTheme="minorHAnsi" w:hAnsiTheme="minorHAnsi" w:cstheme="minorHAnsi"/>
                <w:lang w:val="bs-Latn-BA"/>
              </w:rPr>
              <w:t xml:space="preserve">basic information about the regulations and procedures related to quality control, regulations related to quality assurance and the procedure for registration of borderline medicinal products. </w:t>
            </w:r>
          </w:p>
          <w:p w:rsidR="00BA489E" w:rsidRPr="00F93147" w:rsidRDefault="00BA489E" w:rsidP="00F93147">
            <w:pPr>
              <w:widowControl/>
              <w:shd w:val="clear" w:color="auto" w:fill="F5F5F5"/>
              <w:autoSpaceDE/>
              <w:autoSpaceDN/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eastAsia="Times New Roman" w:hAnsiTheme="minorHAnsi" w:cstheme="minorHAnsi"/>
                <w:lang w:eastAsia="bs-Latn-BA"/>
              </w:rPr>
              <w:t>Specificity of the origin and types of active substances and their different content in border products, a large number of different parameters that determine the quality of the starting substances and the finished product will be processed so that a student acquires knowledge about the importance of analytical approach in quality assurance of these products.</w:t>
            </w:r>
          </w:p>
        </w:tc>
      </w:tr>
      <w:tr w:rsidR="00BA489E" w:rsidRPr="00F93147" w:rsidTr="00F93147">
        <w:tc>
          <w:tcPr>
            <w:tcW w:w="9242" w:type="dxa"/>
            <w:gridSpan w:val="5"/>
          </w:tcPr>
          <w:p w:rsidR="00BA489E" w:rsidRPr="00F93147" w:rsidRDefault="00BA489E" w:rsidP="00F9314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426" w:hanging="426"/>
              <w:jc w:val="both"/>
              <w:rPr>
                <w:rFonts w:asciiTheme="minorHAnsi" w:hAnsiTheme="minorHAnsi" w:cstheme="minorHAnsi"/>
                <w:b/>
              </w:rPr>
            </w:pPr>
            <w:r w:rsidRPr="00F93147">
              <w:rPr>
                <w:rFonts w:asciiTheme="minorHAnsi" w:hAnsiTheme="minorHAnsi" w:cstheme="minorHAnsi"/>
                <w:b/>
              </w:rPr>
              <w:t>Contents of the course</w:t>
            </w:r>
          </w:p>
          <w:p w:rsidR="00BA489E" w:rsidRPr="00F93147" w:rsidRDefault="00BA489E" w:rsidP="00F9314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a) Lectures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Introduction, borderline medicinal products, definition, division, application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Legislation on quality assurance of borderline medicinal products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Guidelines for testing borderline medicinal products safety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Registration of borderline medicinal products in BiH and EU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Authorized and prohibited substances in borderline medicinal products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Marker substances in analytics of borderline medicinal products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</w:pPr>
            <w:r w:rsidRPr="00F93147">
              <w:rPr>
                <w:rFonts w:asciiTheme="minorHAnsi" w:hAnsiTheme="minorHAnsi" w:cstheme="minorHAnsi"/>
              </w:rPr>
              <w:t>Monographs and specifications of authorized and marker substances in borderline medicinal products, reference samples, analytical methods</w:t>
            </w:r>
          </w:p>
          <w:p w:rsidR="00BA489E" w:rsidRPr="00BA489E" w:rsidRDefault="00BA489E" w:rsidP="00BA489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Selection and harmonization of analytical methods and procedures for borderline medicinal products quality control with prescribed quality requirements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Identification, evaluation of the purity, potency and composition of borderline medicinal products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Counterfeit borderlinemedicinal products </w:t>
            </w:r>
          </w:p>
          <w:p w:rsidR="00BA489E" w:rsidRDefault="00BA489E" w:rsidP="00F931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Analytical methods and procedures for the control of borderline medicinal products with hydrosoluble and liposoluble vitamins </w:t>
            </w:r>
          </w:p>
          <w:p w:rsidR="00BA489E" w:rsidRPr="00F93147" w:rsidRDefault="00BA489E" w:rsidP="00BA489E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lastRenderedPageBreak/>
              <w:t xml:space="preserve">Analytical methods and procedures for the control of borderline medicinal products with active substances of plant origin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Analytical methods and procedures for the control of borderline medicinal products with proteins, growth factors and cytokines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Heavy metals in borderline medicinal products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Evaluation of test results, analytical reports</w:t>
            </w:r>
          </w:p>
          <w:p w:rsidR="00BA489E" w:rsidRPr="00F93147" w:rsidRDefault="00BA489E" w:rsidP="00F9314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A489E" w:rsidRPr="00F93147" w:rsidRDefault="00BA489E" w:rsidP="00F93147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b) Seminary </w:t>
            </w:r>
            <w:r>
              <w:rPr>
                <w:rFonts w:asciiTheme="minorHAnsi" w:hAnsiTheme="minorHAnsi" w:cstheme="minorHAnsi"/>
              </w:rPr>
              <w:t>paper</w:t>
            </w:r>
          </w:p>
          <w:p w:rsidR="00BA489E" w:rsidRPr="00F93147" w:rsidRDefault="00BA489E" w:rsidP="00F93147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Seminary </w:t>
            </w:r>
            <w:r>
              <w:rPr>
                <w:rFonts w:asciiTheme="minorHAnsi" w:hAnsiTheme="minorHAnsi" w:cstheme="minorHAnsi"/>
              </w:rPr>
              <w:t xml:space="preserve">paper </w:t>
            </w:r>
            <w:r w:rsidRPr="00F93147">
              <w:rPr>
                <w:rFonts w:asciiTheme="minorHAnsi" w:hAnsiTheme="minorHAnsi" w:cstheme="minorHAnsi"/>
              </w:rPr>
              <w:t>has to be submitted in writing form, orally presented to the teacher and other students of the course.</w:t>
            </w:r>
          </w:p>
        </w:tc>
      </w:tr>
      <w:tr w:rsidR="00BA489E" w:rsidRPr="00F93147" w:rsidTr="00F93147">
        <w:tc>
          <w:tcPr>
            <w:tcW w:w="2518" w:type="dxa"/>
          </w:tcPr>
          <w:p w:rsidR="00BA489E" w:rsidRPr="00F93147" w:rsidRDefault="00BA489E" w:rsidP="00F9314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lastRenderedPageBreak/>
              <w:t>Learning outcomes</w:t>
            </w:r>
          </w:p>
        </w:tc>
        <w:tc>
          <w:tcPr>
            <w:tcW w:w="6724" w:type="dxa"/>
            <w:gridSpan w:val="4"/>
          </w:tcPr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</w:rPr>
              <w:t>After passing the course exam, students will be able to:</w:t>
            </w:r>
          </w:p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1. Apply the knowledge to select the regulations and methods which should be applied in the quality control of borderline medicinal products</w:t>
            </w:r>
          </w:p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2. Select analytical methods when examining active substances in accordance with the legislation</w:t>
            </w:r>
          </w:p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3. Summarize the results of the analysis according to regulatory guidelines, and on that basis to evaluate the analyzed substances and the finished product</w:t>
            </w:r>
          </w:p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4. Compare the obtained results with the quality requirements</w:t>
            </w:r>
          </w:p>
          <w:p w:rsidR="00BA489E" w:rsidRPr="00F93147" w:rsidRDefault="00BA489E" w:rsidP="00F93147">
            <w:pPr>
              <w:jc w:val="both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 xml:space="preserve">5. Critically analyze the results of </w:t>
            </w:r>
            <w:r w:rsidRPr="00F93147">
              <w:rPr>
                <w:rFonts w:asciiTheme="minorHAnsi" w:hAnsiTheme="minorHAnsi" w:cstheme="minorHAnsi"/>
              </w:rPr>
              <w:t xml:space="preserve">analytical methods and procedures </w:t>
            </w:r>
            <w:r w:rsidRPr="00F93147">
              <w:rPr>
                <w:rFonts w:asciiTheme="minorHAnsi" w:hAnsiTheme="minorHAnsi" w:cstheme="minorHAnsi"/>
                <w:lang w:val="bs-Latn-BA"/>
              </w:rPr>
              <w:t>for borderline medicinal products</w:t>
            </w:r>
          </w:p>
        </w:tc>
      </w:tr>
      <w:tr w:rsidR="00BA489E" w:rsidRPr="00F93147" w:rsidTr="00F93147">
        <w:tc>
          <w:tcPr>
            <w:tcW w:w="9242" w:type="dxa"/>
            <w:gridSpan w:val="5"/>
          </w:tcPr>
          <w:p w:rsidR="00BA489E" w:rsidRPr="00F93147" w:rsidRDefault="00BA489E" w:rsidP="00F931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Theme="minorHAnsi" w:hAnsiTheme="minorHAnsi" w:cstheme="minorHAnsi"/>
                <w:b/>
              </w:rPr>
            </w:pPr>
            <w:r w:rsidRPr="00F93147">
              <w:rPr>
                <w:rFonts w:asciiTheme="minorHAnsi" w:hAnsiTheme="minorHAnsi" w:cstheme="minorHAnsi"/>
                <w:b/>
              </w:rPr>
              <w:t>ORGANIZATION OF COURSE - Lectures and seminar assay</w:t>
            </w:r>
          </w:p>
        </w:tc>
      </w:tr>
      <w:tr w:rsidR="00BA489E" w:rsidRPr="00F93147" w:rsidTr="00F93147">
        <w:tc>
          <w:tcPr>
            <w:tcW w:w="9242" w:type="dxa"/>
            <w:gridSpan w:val="5"/>
          </w:tcPr>
          <w:p w:rsidR="00BA489E" w:rsidRPr="00F93147" w:rsidRDefault="00BA489E" w:rsidP="00F93147">
            <w:pPr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Activity description (%)</w:t>
            </w:r>
          </w:p>
        </w:tc>
      </w:tr>
      <w:tr w:rsidR="00BA489E" w:rsidRPr="00F93147" w:rsidTr="00F93147">
        <w:tc>
          <w:tcPr>
            <w:tcW w:w="2518" w:type="dxa"/>
          </w:tcPr>
          <w:p w:rsidR="00BA489E" w:rsidRPr="00F93147" w:rsidRDefault="00BA489E" w:rsidP="00F93147">
            <w:pPr>
              <w:pStyle w:val="ListParagrap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2.1. Method</w:t>
            </w:r>
          </w:p>
        </w:tc>
        <w:tc>
          <w:tcPr>
            <w:tcW w:w="4455" w:type="dxa"/>
            <w:gridSpan w:val="3"/>
          </w:tcPr>
          <w:p w:rsidR="00BA489E" w:rsidRPr="00F93147" w:rsidRDefault="00BA489E" w:rsidP="00F931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Lectures, all students in the classroom</w:t>
            </w:r>
          </w:p>
          <w:p w:rsidR="00BA489E" w:rsidRPr="00F93147" w:rsidRDefault="00BA489E" w:rsidP="00BA48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Seminary </w:t>
            </w:r>
            <w:r>
              <w:rPr>
                <w:rFonts w:asciiTheme="minorHAnsi" w:hAnsiTheme="minorHAnsi" w:cstheme="minorHAnsi"/>
              </w:rPr>
              <w:t>paper</w:t>
            </w:r>
          </w:p>
        </w:tc>
        <w:tc>
          <w:tcPr>
            <w:tcW w:w="2269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50 %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50 %</w:t>
            </w:r>
          </w:p>
        </w:tc>
      </w:tr>
      <w:tr w:rsidR="00BA489E" w:rsidRPr="00F93147" w:rsidTr="00F93147">
        <w:tc>
          <w:tcPr>
            <w:tcW w:w="9242" w:type="dxa"/>
            <w:gridSpan w:val="5"/>
          </w:tcPr>
          <w:p w:rsidR="00BA489E" w:rsidRPr="00F93147" w:rsidRDefault="00BA489E" w:rsidP="00F93147">
            <w:pPr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Participation in the evaluation (%)</w:t>
            </w:r>
          </w:p>
        </w:tc>
      </w:tr>
      <w:tr w:rsidR="00BA489E" w:rsidRPr="00F93147" w:rsidTr="00F93147">
        <w:tc>
          <w:tcPr>
            <w:tcW w:w="2518" w:type="dxa"/>
          </w:tcPr>
          <w:p w:rsidR="00BA489E" w:rsidRPr="00F93147" w:rsidRDefault="00BA489E" w:rsidP="00F9314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System of evaluation</w:t>
            </w:r>
          </w:p>
        </w:tc>
        <w:tc>
          <w:tcPr>
            <w:tcW w:w="4455" w:type="dxa"/>
            <w:gridSpan w:val="3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Final exam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noProof/>
              </w:rPr>
              <w:t>Seminary paper</w:t>
            </w:r>
            <w:r w:rsidRPr="00F93147" w:rsidDel="00F13CC0">
              <w:rPr>
                <w:rFonts w:asciiTheme="minorHAnsi" w:hAnsiTheme="minorHAnsi" w:cstheme="minorHAnsi"/>
                <w:lang w:val="bs-Latn-BA"/>
              </w:rPr>
              <w:t xml:space="preserve"> </w:t>
            </w:r>
          </w:p>
        </w:tc>
        <w:tc>
          <w:tcPr>
            <w:tcW w:w="2269" w:type="dxa"/>
          </w:tcPr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50 %</w:t>
            </w:r>
          </w:p>
          <w:p w:rsidR="00BA489E" w:rsidRPr="00F93147" w:rsidRDefault="00BA489E" w:rsidP="00F93147">
            <w:pPr>
              <w:rPr>
                <w:rFonts w:asciiTheme="minorHAnsi" w:hAnsiTheme="minorHAnsi" w:cstheme="minorHAnsi"/>
                <w:lang w:val="bs-Latn-BA"/>
              </w:rPr>
            </w:pPr>
            <w:r w:rsidRPr="00F93147">
              <w:rPr>
                <w:rFonts w:asciiTheme="minorHAnsi" w:hAnsiTheme="minorHAnsi" w:cstheme="minorHAnsi"/>
                <w:lang w:val="bs-Latn-BA"/>
              </w:rPr>
              <w:t>50 %</w:t>
            </w:r>
          </w:p>
        </w:tc>
      </w:tr>
      <w:tr w:rsidR="00BA489E" w:rsidRPr="00F93147" w:rsidTr="00F93147">
        <w:tc>
          <w:tcPr>
            <w:tcW w:w="9242" w:type="dxa"/>
            <w:gridSpan w:val="5"/>
          </w:tcPr>
          <w:p w:rsidR="00BA489E" w:rsidRPr="00BA489E" w:rsidRDefault="00BA489E" w:rsidP="00BA489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A489E">
              <w:rPr>
                <w:rFonts w:asciiTheme="minorHAnsi" w:hAnsiTheme="minorHAnsi" w:cstheme="minorHAnsi"/>
                <w:b/>
              </w:rPr>
              <w:t xml:space="preserve">REQUIRED  LITERATURE </w:t>
            </w:r>
          </w:p>
          <w:p w:rsidR="00BA489E" w:rsidRPr="00F93147" w:rsidRDefault="00BA489E" w:rsidP="00F93147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BA489E" w:rsidRPr="00F93147" w:rsidRDefault="00BA489E" w:rsidP="00F93147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eastAsia="Trebuchet MS" w:hAnsiTheme="minorHAnsi" w:cstheme="minorHAnsi"/>
                <w:color w:val="auto"/>
                <w:sz w:val="22"/>
                <w:szCs w:val="22"/>
              </w:rPr>
            </w:pPr>
            <w:r w:rsidRPr="00F93147">
              <w:rPr>
                <w:rFonts w:asciiTheme="minorHAnsi" w:hAnsiTheme="minorHAnsi" w:cstheme="minorHAnsi"/>
                <w:sz w:val="22"/>
                <w:szCs w:val="22"/>
              </w:rPr>
              <w:t xml:space="preserve">Presentations from lectures </w:t>
            </w:r>
          </w:p>
          <w:p w:rsidR="00BA489E" w:rsidRPr="00BA489E" w:rsidRDefault="00BA489E" w:rsidP="00BA489E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3147">
              <w:rPr>
                <w:rFonts w:asciiTheme="minorHAnsi" w:hAnsiTheme="minorHAnsi" w:cstheme="minorHAnsi"/>
                <w:sz w:val="22"/>
                <w:szCs w:val="22"/>
              </w:rPr>
              <w:t xml:space="preserve">On line available literature </w:t>
            </w:r>
          </w:p>
          <w:p w:rsidR="00BA489E" w:rsidRDefault="00BA489E" w:rsidP="00F93147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147">
              <w:rPr>
                <w:rFonts w:asciiTheme="minorHAnsi" w:hAnsiTheme="minorHAnsi" w:cstheme="minorHAnsi"/>
                <w:b/>
                <w:sz w:val="22"/>
                <w:szCs w:val="22"/>
              </w:rPr>
              <w:t>OPTIONAL LITERATURE</w:t>
            </w:r>
          </w:p>
          <w:p w:rsidR="00BA489E" w:rsidRPr="00F93147" w:rsidRDefault="00BA489E" w:rsidP="00BA489E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A489E" w:rsidRPr="00F93147" w:rsidRDefault="00BA489E" w:rsidP="00F9314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Theme="minorHAnsi" w:hAnsiTheme="minorHAnsi" w:cstheme="minorHAnsi"/>
                <w:lang w:val="bs-Latn-BA" w:eastAsia="bs-Latn-BA"/>
              </w:rPr>
            </w:pPr>
            <w:r w:rsidRPr="00F93147">
              <w:rPr>
                <w:rFonts w:asciiTheme="minorHAnsi" w:hAnsiTheme="minorHAnsi" w:cstheme="minorHAnsi"/>
                <w:lang w:val="bs-Latn-BA" w:eastAsia="bs-Latn-BA"/>
              </w:rPr>
              <w:t>Handbook of modern pharmaceutical analysis, Satinder Ahuja and Stephen Scypinski, Academic Press, 2001.</w:t>
            </w:r>
          </w:p>
          <w:p w:rsidR="00BA489E" w:rsidRPr="00F93147" w:rsidRDefault="00BA489E" w:rsidP="00F93147">
            <w:pPr>
              <w:pStyle w:val="Heading1"/>
              <w:keepLines w:val="0"/>
              <w:widowControl/>
              <w:numPr>
                <w:ilvl w:val="0"/>
                <w:numId w:val="7"/>
              </w:numPr>
              <w:autoSpaceDE/>
              <w:autoSpaceDN/>
              <w:spacing w:before="0" w:after="75" w:line="288" w:lineRule="atLeast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</w:pPr>
            <w:r w:rsidRPr="00F93147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Peter Elsner, Howard I. Maibach. </w:t>
            </w:r>
            <w:r w:rsidRPr="00F93147">
              <w:rPr>
                <w:rFonts w:asciiTheme="minorHAnsi" w:hAnsiTheme="minorHAnsi" w:cstheme="minorHAnsi"/>
                <w:color w:val="auto"/>
                <w:spacing w:val="-8"/>
                <w:sz w:val="22"/>
                <w:szCs w:val="22"/>
                <w:lang w:val="bs-Latn-BA"/>
              </w:rPr>
              <w:t xml:space="preserve"> Cosmeceuticals and Active Cosmetics: Drugs vs. Cosmetics. </w:t>
            </w:r>
            <w:r w:rsidRPr="00F93147"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CRC Press, 2005.</w:t>
            </w:r>
            <w:r w:rsidRPr="00F93147">
              <w:rPr>
                <w:rStyle w:val="apple-converted-space"/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> </w:t>
            </w:r>
          </w:p>
          <w:p w:rsidR="00BA489E" w:rsidRPr="00BA489E" w:rsidRDefault="00BA489E" w:rsidP="00BA489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EDQM European Pharmacopoeia, 10</w:t>
            </w:r>
            <w:r w:rsidRPr="00F9314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F93147">
              <w:rPr>
                <w:rFonts w:asciiTheme="minorHAnsi" w:hAnsiTheme="minorHAnsi" w:cstheme="minorHAnsi"/>
              </w:rPr>
              <w:t xml:space="preserve"> Edition, Council of Europe, Strasbourg, France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u w:val="single"/>
                <w:lang w:eastAsia="hr-HR"/>
              </w:rPr>
            </w:pPr>
            <w:r w:rsidRPr="00F93147">
              <w:rPr>
                <w:rFonts w:asciiTheme="minorHAnsi" w:hAnsiTheme="minorHAnsi" w:cstheme="minorHAnsi"/>
                <w:lang w:val="hr-HR" w:eastAsia="hr-HR"/>
              </w:rPr>
              <w:t xml:space="preserve">Guidance document on the demarcation between the cosmetic products  Directive 76/768 and the medicinal products directive 2001/83 </w:t>
            </w:r>
            <w:hyperlink r:id="rId9" w:history="1">
              <w:r w:rsidRPr="00F93147">
                <w:rPr>
                  <w:rStyle w:val="Hyperlink"/>
                  <w:rFonts w:asciiTheme="minorHAnsi" w:hAnsiTheme="minorHAnsi" w:cstheme="minorHAnsi"/>
                </w:rPr>
                <w:t>http://ec.europa.eu/growth/sectors/cosmetics/products/borderline-products/docs/guidance_doc_cosm-medicinal_en.pdf</w:t>
              </w:r>
            </w:hyperlink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 xml:space="preserve">Manual of the working griop on cosmetic products (sub-group om borderline products) on the scope of application of the cosmetics regulation (EC) NO 1223/2009 ART.2(1)(A)). </w:t>
            </w:r>
          </w:p>
          <w:p w:rsidR="00BA489E" w:rsidRPr="00F93147" w:rsidRDefault="00BA489E" w:rsidP="00F9314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F93147">
              <w:rPr>
                <w:rFonts w:asciiTheme="minorHAnsi" w:hAnsiTheme="minorHAnsi" w:cstheme="minorHAnsi"/>
              </w:rPr>
              <w:t>Law of medicines and medical devices of Bosnia and Herzegovina. 2008.</w:t>
            </w:r>
          </w:p>
          <w:p w:rsidR="00BA489E" w:rsidRPr="00F93147" w:rsidRDefault="00BA489E" w:rsidP="00F93147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F1090" w:rsidRDefault="009F1090"/>
    <w:sectPr w:rsidR="009F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D26"/>
    <w:multiLevelType w:val="hybridMultilevel"/>
    <w:tmpl w:val="F9BE7E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88A"/>
    <w:multiLevelType w:val="hybridMultilevel"/>
    <w:tmpl w:val="E568662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2EEA"/>
    <w:multiLevelType w:val="hybridMultilevel"/>
    <w:tmpl w:val="9A8695C2"/>
    <w:lvl w:ilvl="0" w:tplc="A51A6778">
      <w:start w:val="33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D15"/>
    <w:multiLevelType w:val="multilevel"/>
    <w:tmpl w:val="37AAD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4B44BB"/>
    <w:multiLevelType w:val="hybridMultilevel"/>
    <w:tmpl w:val="0DBADD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6259"/>
    <w:multiLevelType w:val="hybridMultilevel"/>
    <w:tmpl w:val="3080E7C0"/>
    <w:lvl w:ilvl="0" w:tplc="A51A6778">
      <w:start w:val="33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49BB"/>
    <w:multiLevelType w:val="multilevel"/>
    <w:tmpl w:val="ED985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9E"/>
    <w:rsid w:val="00235ABF"/>
    <w:rsid w:val="003930DE"/>
    <w:rsid w:val="00807189"/>
    <w:rsid w:val="009F1090"/>
    <w:rsid w:val="009F6175"/>
    <w:rsid w:val="00B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3F35D-0ED2-4432-BC32-75113F48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489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A489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BA489E"/>
    <w:rPr>
      <w:color w:val="0563C1" w:themeColor="hyperlink"/>
      <w:u w:val="single"/>
    </w:rPr>
  </w:style>
  <w:style w:type="paragraph" w:customStyle="1" w:styleId="Default">
    <w:name w:val="Default"/>
    <w:rsid w:val="00BA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A48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489E"/>
  </w:style>
  <w:style w:type="character" w:styleId="Emphasis">
    <w:name w:val="Emphasis"/>
    <w:basedOn w:val="DefaultParagraphFont"/>
    <w:uiPriority w:val="20"/>
    <w:qFormat/>
    <w:rsid w:val="00BA4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User</cp:lastModifiedBy>
  <cp:revision>2</cp:revision>
  <dcterms:created xsi:type="dcterms:W3CDTF">2020-04-04T05:55:00Z</dcterms:created>
  <dcterms:modified xsi:type="dcterms:W3CDTF">2020-04-04T05:55:00Z</dcterms:modified>
</cp:coreProperties>
</file>