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369"/>
        <w:gridCol w:w="401"/>
        <w:gridCol w:w="1581"/>
        <w:gridCol w:w="2995"/>
        <w:gridCol w:w="2971"/>
      </w:tblGrid>
      <w:tr w:rsidR="00980018" w:rsidRPr="00754E21" w14:paraId="7B4AED08" w14:textId="77777777" w:rsidTr="00F47789">
        <w:trPr>
          <w:trHeight w:val="104"/>
        </w:trPr>
        <w:tc>
          <w:tcPr>
            <w:tcW w:w="1369"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813B284" w14:textId="77777777" w:rsidR="00980018" w:rsidRPr="00754E21" w:rsidRDefault="00980018" w:rsidP="00F47789">
            <w:pPr>
              <w:spacing w:after="0" w:line="240" w:lineRule="auto"/>
              <w:rPr>
                <w:rFonts w:eastAsia="Times New Roman" w:cs="Arial"/>
                <w:lang w:val="en-GB" w:eastAsia="hr-BA"/>
              </w:rPr>
            </w:pPr>
            <w:r w:rsidRPr="00754E21">
              <w:rPr>
                <w:rFonts w:eastAsia="Calibri"/>
                <w:b/>
                <w:bCs/>
                <w:color w:val="000000"/>
                <w:kern w:val="24"/>
                <w:lang w:val="en-GB" w:eastAsia="hr-BA"/>
              </w:rPr>
              <w:t>Course code:</w:t>
            </w:r>
            <w:r w:rsidRPr="00754E21">
              <w:rPr>
                <w:rFonts w:eastAsia="Times New Roman" w:cs="Arial"/>
                <w:lang w:val="en-GB" w:eastAsia="hr-BA"/>
              </w:rPr>
              <w:t xml:space="preserve"> 801</w:t>
            </w:r>
          </w:p>
          <w:p w14:paraId="06B45E74" w14:textId="77777777" w:rsidR="00980018" w:rsidRPr="00754E21" w:rsidRDefault="00980018" w:rsidP="00F47789">
            <w:pPr>
              <w:spacing w:after="0" w:line="240" w:lineRule="auto"/>
              <w:rPr>
                <w:rFonts w:eastAsia="Times New Roman" w:cs="Arial"/>
                <w:lang w:val="en-GB" w:eastAsia="hr-BA"/>
              </w:rPr>
            </w:pPr>
          </w:p>
        </w:tc>
        <w:tc>
          <w:tcPr>
            <w:tcW w:w="7948"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0983C37" w14:textId="77777777" w:rsidR="00980018" w:rsidRPr="00754E21" w:rsidRDefault="00980018" w:rsidP="00F47789">
            <w:pPr>
              <w:spacing w:after="0" w:line="240" w:lineRule="auto"/>
              <w:ind w:left="1627" w:hanging="1627"/>
              <w:rPr>
                <w:rFonts w:eastAsia="Times New Roman" w:cs="Arial"/>
                <w:lang w:val="en-GB" w:eastAsia="hr-BA"/>
              </w:rPr>
            </w:pPr>
            <w:r w:rsidRPr="00754E21">
              <w:rPr>
                <w:rFonts w:eastAsia="Calibri"/>
                <w:b/>
                <w:bCs/>
                <w:color w:val="000000"/>
                <w:kern w:val="24"/>
                <w:lang w:val="en-GB" w:eastAsia="hr-BA"/>
              </w:rPr>
              <w:t>Course name:</w:t>
            </w:r>
            <w:r w:rsidR="00F75D93" w:rsidRPr="00754E21">
              <w:rPr>
                <w:rFonts w:eastAsia="Calibri"/>
                <w:b/>
                <w:bCs/>
                <w:color w:val="000000"/>
                <w:kern w:val="24"/>
                <w:lang w:val="en-GB" w:eastAsia="hr-BA"/>
              </w:rPr>
              <w:t xml:space="preserve"> </w:t>
            </w:r>
            <w:r w:rsidRPr="00754E21">
              <w:rPr>
                <w:rFonts w:eastAsia="Calibri"/>
                <w:b/>
                <w:bCs/>
                <w:color w:val="000000"/>
                <w:kern w:val="24"/>
                <w:lang w:val="en-GB" w:eastAsia="hr-BA"/>
              </w:rPr>
              <w:t>Cultural management and producing for performing arts VIII</w:t>
            </w:r>
          </w:p>
        </w:tc>
      </w:tr>
      <w:tr w:rsidR="00980018" w:rsidRPr="00754E21" w14:paraId="78298C2F" w14:textId="77777777" w:rsidTr="00F47789">
        <w:trPr>
          <w:trHeight w:val="104"/>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74510F" w14:textId="77777777" w:rsidR="00980018" w:rsidRPr="00754E21" w:rsidRDefault="00980018" w:rsidP="00F47789">
            <w:pPr>
              <w:rPr>
                <w:rFonts w:eastAsia="Times New Roman" w:cs="Arial"/>
                <w:lang w:val="en-GB" w:eastAsia="hr-BA"/>
              </w:rPr>
            </w:pPr>
            <w:r w:rsidRPr="00754E21">
              <w:rPr>
                <w:rFonts w:eastAsia="Calibri"/>
                <w:b/>
                <w:bCs/>
                <w:color w:val="000000"/>
                <w:kern w:val="24"/>
                <w:lang w:val="en-GB" w:eastAsia="hr-BA"/>
              </w:rPr>
              <w:t>Cycle: I</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565761" w14:textId="77777777" w:rsidR="00980018" w:rsidRPr="00754E21" w:rsidRDefault="00980018" w:rsidP="00F47789">
            <w:pPr>
              <w:rPr>
                <w:rFonts w:eastAsia="Times New Roman" w:cs="Arial"/>
                <w:lang w:val="en-GB" w:eastAsia="hr-BA"/>
              </w:rPr>
            </w:pPr>
            <w:r w:rsidRPr="00754E21">
              <w:rPr>
                <w:rFonts w:eastAsia="Calibri"/>
                <w:b/>
                <w:bCs/>
                <w:color w:val="000000"/>
                <w:kern w:val="24"/>
                <w:lang w:val="en-GB" w:eastAsia="hr-BA"/>
              </w:rPr>
              <w:t>Study year: IV</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4632783" w14:textId="77777777" w:rsidR="00980018" w:rsidRPr="00754E21" w:rsidRDefault="00980018" w:rsidP="00F47789">
            <w:pPr>
              <w:rPr>
                <w:rFonts w:eastAsia="Times New Roman" w:cs="Arial"/>
                <w:lang w:val="en-GB" w:eastAsia="hr-BA"/>
              </w:rPr>
            </w:pPr>
            <w:r w:rsidRPr="00754E21">
              <w:rPr>
                <w:rFonts w:eastAsia="Calibri"/>
                <w:b/>
                <w:bCs/>
                <w:color w:val="000000"/>
                <w:kern w:val="24"/>
                <w:lang w:val="en-GB" w:eastAsia="hr-BA"/>
              </w:rPr>
              <w:t>Semester: VIII</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EFAF6C" w14:textId="77777777" w:rsidR="00980018" w:rsidRPr="00754E21" w:rsidRDefault="00980018" w:rsidP="00F47789">
            <w:pPr>
              <w:rPr>
                <w:rFonts w:eastAsia="Times New Roman" w:cs="Arial"/>
                <w:lang w:val="en-GB" w:eastAsia="hr-BA"/>
              </w:rPr>
            </w:pPr>
            <w:r w:rsidRPr="00754E21">
              <w:rPr>
                <w:rFonts w:eastAsia="Calibri"/>
                <w:b/>
                <w:bCs/>
                <w:color w:val="000000"/>
                <w:kern w:val="24"/>
                <w:lang w:val="en-GB" w:eastAsia="hr-BA"/>
              </w:rPr>
              <w:t>ECTS:</w:t>
            </w:r>
            <w:r w:rsidRPr="00754E21">
              <w:rPr>
                <w:rFonts w:eastAsia="Calibri"/>
                <w:color w:val="000000"/>
                <w:kern w:val="24"/>
                <w:lang w:val="en-GB" w:eastAsia="hr-BA"/>
              </w:rPr>
              <w:t xml:space="preserve"> 8</w:t>
            </w:r>
          </w:p>
        </w:tc>
      </w:tr>
      <w:tr w:rsidR="00980018" w:rsidRPr="00754E21" w14:paraId="129908E1" w14:textId="77777777" w:rsidTr="00F47789">
        <w:trPr>
          <w:trHeight w:val="479"/>
        </w:trPr>
        <w:tc>
          <w:tcPr>
            <w:tcW w:w="335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F3F1FD" w14:textId="77777777" w:rsidR="00980018" w:rsidRPr="00754E21" w:rsidRDefault="00980018" w:rsidP="00F47789">
            <w:pPr>
              <w:rPr>
                <w:rFonts w:eastAsia="Times New Roman" w:cs="Arial"/>
                <w:lang w:val="en-GB" w:eastAsia="hr-BA"/>
              </w:rPr>
            </w:pPr>
            <w:r w:rsidRPr="00754E21">
              <w:rPr>
                <w:noProof/>
                <w:lang w:val="en-GB" w:eastAsia="en-GB"/>
              </w:rPr>
              <w:drawing>
                <wp:anchor distT="0" distB="0" distL="114300" distR="114300" simplePos="0" relativeHeight="251667456" behindDoc="1" locked="0" layoutInCell="1" allowOverlap="1" wp14:anchorId="19FABF04" wp14:editId="437EB387">
                  <wp:simplePos x="0" y="0"/>
                  <wp:positionH relativeFrom="column">
                    <wp:posOffset>44450</wp:posOffset>
                  </wp:positionH>
                  <wp:positionV relativeFrom="paragraph">
                    <wp:posOffset>139065</wp:posOffset>
                  </wp:positionV>
                  <wp:extent cx="4940300" cy="4940300"/>
                  <wp:effectExtent l="0" t="0" r="0" b="0"/>
                  <wp:wrapNone/>
                  <wp:docPr id="8"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754E21">
              <w:rPr>
                <w:rFonts w:eastAsia="Calibri"/>
                <w:b/>
                <w:bCs/>
                <w:color w:val="000000"/>
                <w:kern w:val="24"/>
                <w:lang w:val="en-GB" w:eastAsia="hr-BA"/>
              </w:rPr>
              <w:t>Study mode: Obligatory</w:t>
            </w:r>
          </w:p>
        </w:tc>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976E1E" w14:textId="77777777" w:rsidR="00980018" w:rsidRPr="00754E21" w:rsidRDefault="00980018" w:rsidP="00F47789">
            <w:pPr>
              <w:spacing w:after="0"/>
              <w:rPr>
                <w:rFonts w:eastAsia="Calibri"/>
                <w:b/>
                <w:bCs/>
                <w:color w:val="000000"/>
                <w:kern w:val="24"/>
                <w:lang w:val="en-GB" w:eastAsia="hr-BA"/>
              </w:rPr>
            </w:pPr>
            <w:r w:rsidRPr="00754E21">
              <w:rPr>
                <w:rFonts w:eastAsia="Calibri"/>
                <w:b/>
                <w:bCs/>
                <w:color w:val="000000"/>
                <w:kern w:val="24"/>
                <w:lang w:val="en-GB" w:eastAsia="hr-BA"/>
              </w:rPr>
              <w:t>Total hrs. number:120</w:t>
            </w:r>
          </w:p>
          <w:p w14:paraId="7D6874CC" w14:textId="77777777" w:rsidR="00980018" w:rsidRPr="00754E21" w:rsidRDefault="00980018" w:rsidP="00F47789">
            <w:pPr>
              <w:spacing w:after="0"/>
              <w:rPr>
                <w:rFonts w:eastAsia="Calibri"/>
                <w:b/>
                <w:bCs/>
                <w:color w:val="000000"/>
                <w:kern w:val="24"/>
                <w:lang w:val="en-GB" w:eastAsia="hr-BA"/>
              </w:rPr>
            </w:pPr>
            <w:r w:rsidRPr="00754E21">
              <w:rPr>
                <w:rFonts w:eastAsia="Calibri"/>
                <w:bCs/>
                <w:color w:val="000000"/>
                <w:kern w:val="24"/>
                <w:lang w:val="en-GB" w:eastAsia="hr-BA"/>
              </w:rPr>
              <w:t>Lectures:</w:t>
            </w:r>
            <w:r w:rsidRPr="00754E21">
              <w:rPr>
                <w:rFonts w:eastAsia="Calibri"/>
                <w:b/>
                <w:bCs/>
                <w:color w:val="000000"/>
                <w:kern w:val="24"/>
                <w:lang w:val="en-GB" w:eastAsia="hr-BA"/>
              </w:rPr>
              <w:t xml:space="preserve"> 60</w:t>
            </w:r>
          </w:p>
          <w:p w14:paraId="2B55B8A3" w14:textId="77777777" w:rsidR="00980018" w:rsidRPr="00754E21" w:rsidRDefault="00980018" w:rsidP="00F47789">
            <w:pPr>
              <w:spacing w:after="60"/>
              <w:rPr>
                <w:rFonts w:eastAsia="Calibri"/>
                <w:bCs/>
                <w:color w:val="000000"/>
                <w:kern w:val="24"/>
                <w:lang w:val="en-GB" w:eastAsia="hr-BA"/>
              </w:rPr>
            </w:pPr>
            <w:r w:rsidRPr="00754E21">
              <w:rPr>
                <w:rFonts w:eastAsia="Calibri"/>
                <w:bCs/>
                <w:color w:val="000000"/>
                <w:kern w:val="24"/>
                <w:lang w:val="en-GB" w:eastAsia="hr-BA"/>
              </w:rPr>
              <w:t>Laboratory/practical exercises: 60</w:t>
            </w:r>
          </w:p>
        </w:tc>
      </w:tr>
      <w:tr w:rsidR="00980018" w:rsidRPr="00754E21" w14:paraId="43BB0ADB"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3F6540B" w14:textId="77777777" w:rsidR="00980018" w:rsidRPr="00754E21" w:rsidRDefault="00980018" w:rsidP="00F47789">
            <w:pPr>
              <w:spacing w:after="60"/>
              <w:rPr>
                <w:rFonts w:eastAsia="Times New Roman" w:cs="Arial"/>
                <w:b/>
                <w:lang w:val="en-GB" w:eastAsia="hr-BA"/>
              </w:rPr>
            </w:pPr>
            <w:r w:rsidRPr="00754E21">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C02D53A" w14:textId="77777777" w:rsidR="00980018" w:rsidRPr="00754E21" w:rsidRDefault="00980018" w:rsidP="00F47789">
            <w:pPr>
              <w:spacing w:after="60"/>
              <w:rPr>
                <w:rFonts w:eastAsia="Times New Roman" w:cs="Arial"/>
                <w:b/>
                <w:lang w:val="en-GB" w:eastAsia="hr-BA"/>
              </w:rPr>
            </w:pPr>
          </w:p>
        </w:tc>
      </w:tr>
      <w:tr w:rsidR="00980018" w:rsidRPr="00754E21" w14:paraId="604A430B"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9C45E7" w14:textId="77777777" w:rsidR="00980018" w:rsidRPr="00754E21" w:rsidRDefault="00980018" w:rsidP="00F47789">
            <w:pPr>
              <w:spacing w:after="60"/>
              <w:rPr>
                <w:rFonts w:eastAsia="Times New Roman" w:cs="Arial"/>
                <w:b/>
                <w:lang w:val="en-GB" w:eastAsia="hr-BA"/>
              </w:rPr>
            </w:pPr>
            <w:r w:rsidRPr="00754E21">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32A0A8" w14:textId="77777777" w:rsidR="00980018" w:rsidRPr="00754E21" w:rsidRDefault="00980018" w:rsidP="00F47789">
            <w:pPr>
              <w:spacing w:after="60"/>
              <w:rPr>
                <w:rFonts w:eastAsia="Times New Roman" w:cs="Arial"/>
                <w:lang w:val="en-GB" w:eastAsia="hr-BA"/>
              </w:rPr>
            </w:pPr>
            <w:r w:rsidRPr="00754E21">
              <w:rPr>
                <w:rFonts w:eastAsia="Times New Roman" w:cs="Arial"/>
                <w:lang w:val="en-GB" w:eastAsia="hr-BA"/>
              </w:rPr>
              <w:t>-</w:t>
            </w:r>
          </w:p>
        </w:tc>
      </w:tr>
      <w:tr w:rsidR="00980018" w:rsidRPr="00754E21" w14:paraId="6A276C16"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BFADA22" w14:textId="77777777" w:rsidR="00980018" w:rsidRPr="00754E21" w:rsidRDefault="00980018" w:rsidP="00980018">
            <w:pPr>
              <w:rPr>
                <w:rFonts w:eastAsia="Calibri"/>
                <w:b/>
                <w:bCs/>
                <w:color w:val="000000"/>
                <w:kern w:val="24"/>
                <w:lang w:val="en-GB" w:eastAsia="hr-BA"/>
              </w:rPr>
            </w:pPr>
            <w:r w:rsidRPr="00754E21">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18F1BBA" w14:textId="77777777" w:rsidR="00980018" w:rsidRPr="00754E21" w:rsidRDefault="000D686E" w:rsidP="00F75D93">
            <w:pPr>
              <w:pStyle w:val="Default"/>
              <w:rPr>
                <w:rFonts w:asciiTheme="minorHAnsi" w:hAnsiTheme="minorHAnsi"/>
                <w:sz w:val="22"/>
                <w:szCs w:val="22"/>
                <w:lang w:val="en-GB"/>
              </w:rPr>
            </w:pPr>
            <w:r w:rsidRPr="00754E21">
              <w:rPr>
                <w:rFonts w:asciiTheme="minorHAnsi" w:hAnsiTheme="minorHAnsi"/>
                <w:sz w:val="22"/>
                <w:szCs w:val="22"/>
                <w:lang w:val="en-GB"/>
              </w:rPr>
              <w:t xml:space="preserve">Mastering the process and specificities of </w:t>
            </w:r>
            <w:r w:rsidR="00077684">
              <w:rPr>
                <w:rFonts w:asciiTheme="minorHAnsi" w:hAnsiTheme="minorHAnsi"/>
                <w:sz w:val="22"/>
                <w:szCs w:val="22"/>
                <w:lang w:val="en-GB"/>
              </w:rPr>
              <w:t>film distribution</w:t>
            </w:r>
            <w:r w:rsidR="00980018" w:rsidRPr="00754E21">
              <w:rPr>
                <w:rFonts w:asciiTheme="minorHAnsi" w:hAnsiTheme="minorHAnsi"/>
                <w:sz w:val="22"/>
                <w:szCs w:val="22"/>
                <w:lang w:val="en-GB"/>
              </w:rPr>
              <w:t xml:space="preserve">, </w:t>
            </w:r>
            <w:r w:rsidR="00077684">
              <w:rPr>
                <w:rFonts w:asciiTheme="minorHAnsi" w:hAnsiTheme="minorHAnsi"/>
                <w:sz w:val="22"/>
                <w:szCs w:val="22"/>
                <w:lang w:val="en-GB"/>
              </w:rPr>
              <w:t>specificities of different distribution channels, strategies of global and local distribution, new distribution channels, economic and legal aspects</w:t>
            </w:r>
            <w:r w:rsidR="00980018" w:rsidRPr="00754E21">
              <w:rPr>
                <w:rFonts w:asciiTheme="minorHAnsi" w:hAnsiTheme="minorHAnsi"/>
                <w:sz w:val="22"/>
                <w:szCs w:val="22"/>
                <w:lang w:val="en-GB"/>
              </w:rPr>
              <w:t xml:space="preserve">. </w:t>
            </w:r>
          </w:p>
        </w:tc>
      </w:tr>
      <w:tr w:rsidR="00980018" w:rsidRPr="00754E21" w14:paraId="73B044EF"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56A66B5" w14:textId="77777777" w:rsidR="00980018" w:rsidRPr="00754E21" w:rsidRDefault="00980018" w:rsidP="00980018">
            <w:pPr>
              <w:rPr>
                <w:rFonts w:eastAsia="Calibri"/>
                <w:b/>
                <w:bCs/>
                <w:color w:val="000000"/>
                <w:kern w:val="24"/>
                <w:lang w:val="en-GB" w:eastAsia="hr-BA"/>
              </w:rPr>
            </w:pPr>
            <w:r w:rsidRPr="00754E21">
              <w:rPr>
                <w:rFonts w:eastAsia="Calibri"/>
                <w:b/>
                <w:bCs/>
                <w:color w:val="000000"/>
                <w:kern w:val="24"/>
                <w:lang w:val="en-GB" w:eastAsia="hr-BA"/>
              </w:rPr>
              <w:t>Thematic units:</w:t>
            </w:r>
          </w:p>
          <w:p w14:paraId="5DF2DD1B" w14:textId="77777777" w:rsidR="00980018" w:rsidRPr="00754E21" w:rsidRDefault="00980018" w:rsidP="00980018">
            <w:pPr>
              <w:rPr>
                <w:rFonts w:eastAsia="Calibri"/>
                <w:bCs/>
                <w:i/>
                <w:color w:val="000000"/>
                <w:kern w:val="24"/>
                <w:lang w:val="en-GB" w:eastAsia="hr-BA"/>
              </w:rPr>
            </w:pPr>
            <w:r w:rsidRPr="00754E21">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49194D38" w14:textId="77777777" w:rsidR="00003D4B" w:rsidRDefault="004C0621" w:rsidP="00980018">
            <w:pPr>
              <w:pStyle w:val="Default"/>
              <w:rPr>
                <w:rFonts w:asciiTheme="minorHAnsi" w:hAnsiTheme="minorHAnsi"/>
                <w:sz w:val="22"/>
                <w:szCs w:val="22"/>
                <w:lang w:val="en-GB"/>
              </w:rPr>
            </w:pPr>
            <w:r>
              <w:rPr>
                <w:rFonts w:asciiTheme="minorHAnsi" w:hAnsiTheme="minorHAnsi"/>
                <w:sz w:val="22"/>
                <w:szCs w:val="22"/>
                <w:lang w:val="en-GB"/>
              </w:rPr>
              <w:t>Students get introduced to specific elements and characteristics of</w:t>
            </w:r>
            <w:r w:rsidR="00077684">
              <w:rPr>
                <w:rFonts w:asciiTheme="minorHAnsi" w:hAnsiTheme="minorHAnsi"/>
                <w:sz w:val="22"/>
                <w:szCs w:val="22"/>
                <w:lang w:val="en-GB"/>
              </w:rPr>
              <w:t xml:space="preserve"> film distribution</w:t>
            </w:r>
            <w:r w:rsidR="00980018" w:rsidRPr="00754E21">
              <w:rPr>
                <w:rFonts w:asciiTheme="minorHAnsi" w:hAnsiTheme="minorHAnsi"/>
                <w:sz w:val="22"/>
                <w:szCs w:val="22"/>
                <w:lang w:val="en-GB"/>
              </w:rPr>
              <w:t xml:space="preserve">. </w:t>
            </w:r>
            <w:r w:rsidR="00077684">
              <w:rPr>
                <w:rFonts w:asciiTheme="minorHAnsi" w:hAnsiTheme="minorHAnsi"/>
                <w:sz w:val="22"/>
                <w:szCs w:val="22"/>
                <w:lang w:val="en-GB"/>
              </w:rPr>
              <w:t>They apply the acquired concepts to films of contemporary global and regional production and develop the competencies to define plans and distribution strategies</w:t>
            </w:r>
            <w:r w:rsidR="00980018" w:rsidRPr="00754E21">
              <w:rPr>
                <w:rFonts w:asciiTheme="minorHAnsi" w:hAnsiTheme="minorHAnsi"/>
                <w:sz w:val="22"/>
                <w:szCs w:val="22"/>
                <w:lang w:val="en-GB"/>
              </w:rPr>
              <w:t xml:space="preserve">. </w:t>
            </w:r>
            <w:r w:rsidR="00DE4059">
              <w:rPr>
                <w:rFonts w:asciiTheme="minorHAnsi" w:hAnsiTheme="minorHAnsi"/>
                <w:sz w:val="22"/>
                <w:szCs w:val="22"/>
                <w:lang w:val="en-GB"/>
              </w:rPr>
              <w:t xml:space="preserve">The work is based on a specific combination of </w:t>
            </w:r>
            <w:r w:rsidR="00326F43">
              <w:rPr>
                <w:rFonts w:asciiTheme="minorHAnsi" w:hAnsiTheme="minorHAnsi"/>
                <w:sz w:val="22"/>
                <w:szCs w:val="22"/>
                <w:lang w:val="en-GB"/>
              </w:rPr>
              <w:t>group</w:t>
            </w:r>
            <w:r w:rsidR="00DE4059">
              <w:rPr>
                <w:rFonts w:asciiTheme="minorHAnsi" w:hAnsiTheme="minorHAnsi"/>
                <w:sz w:val="22"/>
                <w:szCs w:val="22"/>
                <w:lang w:val="en-GB"/>
              </w:rPr>
              <w:t xml:space="preserve"> and individual analysis, oral and written</w:t>
            </w:r>
            <w:r w:rsidR="00980018" w:rsidRPr="00754E21">
              <w:rPr>
                <w:rFonts w:asciiTheme="minorHAnsi" w:hAnsiTheme="minorHAnsi"/>
                <w:sz w:val="22"/>
                <w:szCs w:val="22"/>
                <w:lang w:val="en-GB"/>
              </w:rPr>
              <w:t xml:space="preserve">, </w:t>
            </w:r>
            <w:r w:rsidR="00003D4B">
              <w:rPr>
                <w:rFonts w:asciiTheme="minorHAnsi" w:hAnsiTheme="minorHAnsi"/>
                <w:sz w:val="22"/>
                <w:szCs w:val="22"/>
                <w:lang w:val="en-GB"/>
              </w:rPr>
              <w:t>and understanding of distribution models and strategies</w:t>
            </w:r>
            <w:r w:rsidR="00980018" w:rsidRPr="00754E21">
              <w:rPr>
                <w:rFonts w:asciiTheme="minorHAnsi" w:hAnsiTheme="minorHAnsi"/>
                <w:sz w:val="22"/>
                <w:szCs w:val="22"/>
                <w:lang w:val="en-GB"/>
              </w:rPr>
              <w:t xml:space="preserve">. </w:t>
            </w:r>
            <w:r w:rsidR="00003D4B">
              <w:rPr>
                <w:rFonts w:asciiTheme="minorHAnsi" w:hAnsiTheme="minorHAnsi"/>
                <w:sz w:val="22"/>
                <w:szCs w:val="22"/>
                <w:lang w:val="en-GB"/>
              </w:rPr>
              <w:t>A particular focus in this semester is on the practical analysis of current distribution models, at global and regional level, and their monitoring and analysis.</w:t>
            </w:r>
          </w:p>
          <w:p w14:paraId="6AB43336" w14:textId="77777777" w:rsidR="00980018" w:rsidRPr="00754E21" w:rsidRDefault="00DE4059" w:rsidP="00980018">
            <w:pPr>
              <w:pStyle w:val="Default"/>
              <w:rPr>
                <w:rFonts w:asciiTheme="minorHAnsi" w:hAnsiTheme="minorHAnsi"/>
                <w:sz w:val="22"/>
                <w:szCs w:val="22"/>
                <w:lang w:val="en-GB"/>
              </w:rPr>
            </w:pPr>
            <w:r>
              <w:rPr>
                <w:rFonts w:asciiTheme="minorHAnsi" w:hAnsiTheme="minorHAnsi"/>
                <w:sz w:val="22"/>
                <w:szCs w:val="22"/>
                <w:lang w:val="en-GB"/>
              </w:rPr>
              <w:t>Themes:</w:t>
            </w:r>
          </w:p>
          <w:p w14:paraId="1E1D7E9A"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1. </w:t>
            </w:r>
            <w:r w:rsidR="00003D4B">
              <w:rPr>
                <w:rFonts w:asciiTheme="minorHAnsi" w:hAnsiTheme="minorHAnsi"/>
                <w:sz w:val="22"/>
                <w:szCs w:val="22"/>
                <w:lang w:val="en-GB"/>
              </w:rPr>
              <w:t>Film distribution, types of processes and main stakeholders</w:t>
            </w:r>
          </w:p>
          <w:p w14:paraId="6C8EA792" w14:textId="77777777" w:rsidR="00184C89" w:rsidRPr="00A76FF9"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2. </w:t>
            </w:r>
            <w:r w:rsidR="00003D4B">
              <w:rPr>
                <w:rFonts w:asciiTheme="minorHAnsi" w:hAnsiTheme="minorHAnsi"/>
                <w:sz w:val="22"/>
                <w:szCs w:val="22"/>
                <w:lang w:val="en-GB"/>
              </w:rPr>
              <w:t>Specificities of channels in film distribution (large studios, independent distribution),</w:t>
            </w:r>
            <w:r w:rsidR="00F176E8">
              <w:rPr>
                <w:rFonts w:asciiTheme="minorHAnsi" w:hAnsiTheme="minorHAnsi"/>
                <w:sz w:val="22"/>
                <w:szCs w:val="22"/>
                <w:lang w:val="en-GB"/>
              </w:rPr>
              <w:t xml:space="preserve"> strategies of film market placing, categories that determine strategies</w:t>
            </w:r>
            <w:r w:rsidRPr="00754E21">
              <w:rPr>
                <w:rFonts w:asciiTheme="minorHAnsi" w:hAnsiTheme="minorHAnsi"/>
                <w:sz w:val="22"/>
                <w:szCs w:val="22"/>
                <w:lang w:val="en-GB"/>
              </w:rPr>
              <w:t xml:space="preserve">, </w:t>
            </w:r>
            <w:r w:rsidR="00F176E8">
              <w:rPr>
                <w:rFonts w:asciiTheme="minorHAnsi" w:hAnsiTheme="minorHAnsi"/>
                <w:sz w:val="22"/>
                <w:szCs w:val="22"/>
                <w:lang w:val="en-GB"/>
              </w:rPr>
              <w:t xml:space="preserve">specificities of </w:t>
            </w:r>
            <w:r w:rsidR="00F176E8" w:rsidRPr="00A76FF9">
              <w:rPr>
                <w:rFonts w:asciiTheme="minorHAnsi" w:hAnsiTheme="minorHAnsi"/>
                <w:sz w:val="22"/>
                <w:szCs w:val="22"/>
                <w:lang w:val="en-GB"/>
              </w:rPr>
              <w:t xml:space="preserve">strategies </w:t>
            </w:r>
            <w:r w:rsidR="00A76FF9" w:rsidRPr="00A76FF9">
              <w:rPr>
                <w:rFonts w:asciiTheme="minorHAnsi" w:hAnsiTheme="minorHAnsi"/>
                <w:sz w:val="22"/>
                <w:szCs w:val="22"/>
                <w:lang w:val="en-GB"/>
              </w:rPr>
              <w:t>for creating a hit</w:t>
            </w:r>
          </w:p>
          <w:p w14:paraId="37BF6CC6" w14:textId="77777777" w:rsidR="00184C89"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3. </w:t>
            </w:r>
            <w:r w:rsidR="00C9587B" w:rsidRPr="00C9587B">
              <w:rPr>
                <w:rFonts w:asciiTheme="minorHAnsi" w:hAnsiTheme="minorHAnsi"/>
                <w:sz w:val="22"/>
                <w:szCs w:val="22"/>
                <w:lang w:val="en-GB"/>
              </w:rPr>
              <w:t>Exhibition</w:t>
            </w:r>
          </w:p>
          <w:p w14:paraId="45BCAE96"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4. </w:t>
            </w:r>
            <w:r w:rsidR="00184C89">
              <w:rPr>
                <w:rFonts w:asciiTheme="minorHAnsi" w:hAnsiTheme="minorHAnsi"/>
                <w:sz w:val="22"/>
                <w:szCs w:val="22"/>
                <w:lang w:val="en-GB"/>
              </w:rPr>
              <w:t>Cinema</w:t>
            </w:r>
          </w:p>
          <w:p w14:paraId="72829558"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5. </w:t>
            </w:r>
            <w:r w:rsidR="00184C89">
              <w:rPr>
                <w:rFonts w:asciiTheme="minorHAnsi" w:hAnsiTheme="minorHAnsi"/>
                <w:sz w:val="22"/>
                <w:szCs w:val="22"/>
                <w:lang w:val="en-GB"/>
              </w:rPr>
              <w:t>Digital video distribution, new technologies, contemporary moment and perspectives</w:t>
            </w:r>
          </w:p>
          <w:p w14:paraId="16A83D8B" w14:textId="77777777" w:rsidR="00980018" w:rsidRPr="00754E21" w:rsidRDefault="00184C89" w:rsidP="00980018">
            <w:pPr>
              <w:pStyle w:val="Default"/>
              <w:rPr>
                <w:rFonts w:asciiTheme="minorHAnsi" w:hAnsiTheme="minorHAnsi"/>
                <w:sz w:val="22"/>
                <w:szCs w:val="22"/>
                <w:lang w:val="en-GB"/>
              </w:rPr>
            </w:pPr>
            <w:r>
              <w:rPr>
                <w:rFonts w:asciiTheme="minorHAnsi" w:hAnsiTheme="minorHAnsi"/>
                <w:sz w:val="22"/>
                <w:szCs w:val="22"/>
                <w:lang w:val="en-GB"/>
              </w:rPr>
              <w:t>Students get the assignment to work on a specific distribution plan for a film project selected by the teacher</w:t>
            </w:r>
            <w:r w:rsidR="00980018" w:rsidRPr="00754E21">
              <w:rPr>
                <w:rFonts w:asciiTheme="minorHAnsi" w:hAnsiTheme="minorHAnsi"/>
                <w:sz w:val="22"/>
                <w:szCs w:val="22"/>
                <w:lang w:val="en-GB"/>
              </w:rPr>
              <w:t>.</w:t>
            </w:r>
          </w:p>
          <w:p w14:paraId="4F4DB89D" w14:textId="77777777" w:rsidR="00980018" w:rsidRPr="00754E21" w:rsidRDefault="00DE4059" w:rsidP="00980018">
            <w:pPr>
              <w:pStyle w:val="Default"/>
              <w:rPr>
                <w:rFonts w:asciiTheme="minorHAnsi" w:hAnsiTheme="minorHAnsi"/>
                <w:sz w:val="22"/>
                <w:szCs w:val="22"/>
                <w:lang w:val="en-GB"/>
              </w:rPr>
            </w:pPr>
            <w:r>
              <w:rPr>
                <w:rFonts w:asciiTheme="minorHAnsi" w:hAnsiTheme="minorHAnsi"/>
                <w:sz w:val="22"/>
                <w:szCs w:val="22"/>
                <w:lang w:val="en-GB"/>
              </w:rPr>
              <w:t>Students are obliged to follow contemporary cultural production and prepare written</w:t>
            </w:r>
            <w:r w:rsidR="004C0621">
              <w:rPr>
                <w:rFonts w:asciiTheme="minorHAnsi" w:hAnsiTheme="minorHAnsi"/>
                <w:sz w:val="22"/>
                <w:szCs w:val="22"/>
                <w:lang w:val="en-GB"/>
              </w:rPr>
              <w:t xml:space="preserve"> analyses</w:t>
            </w:r>
            <w:r w:rsidR="00980018" w:rsidRPr="00754E21">
              <w:rPr>
                <w:rFonts w:asciiTheme="minorHAnsi" w:hAnsiTheme="minorHAnsi"/>
                <w:sz w:val="22"/>
                <w:szCs w:val="22"/>
                <w:lang w:val="en-GB"/>
              </w:rPr>
              <w:t xml:space="preserve"> –</w:t>
            </w:r>
            <w:r w:rsidR="00613127">
              <w:rPr>
                <w:rFonts w:asciiTheme="minorHAnsi" w:hAnsiTheme="minorHAnsi"/>
                <w:sz w:val="22"/>
                <w:szCs w:val="22"/>
                <w:lang w:val="en-GB"/>
              </w:rPr>
              <w:t xml:space="preserve"> </w:t>
            </w:r>
            <w:r w:rsidR="00DC1EA0">
              <w:rPr>
                <w:rFonts w:asciiTheme="minorHAnsi" w:hAnsiTheme="minorHAnsi"/>
                <w:sz w:val="22"/>
                <w:szCs w:val="22"/>
                <w:lang w:val="en-GB"/>
              </w:rPr>
              <w:t>reviews and SWOT - of selected cultural events in different performing arts</w:t>
            </w:r>
            <w:r w:rsidR="00980018" w:rsidRPr="00754E21">
              <w:rPr>
                <w:rFonts w:asciiTheme="minorHAnsi" w:hAnsiTheme="minorHAnsi"/>
                <w:sz w:val="22"/>
                <w:szCs w:val="22"/>
                <w:lang w:val="en-GB"/>
              </w:rPr>
              <w:t>.</w:t>
            </w:r>
          </w:p>
        </w:tc>
      </w:tr>
      <w:tr w:rsidR="00980018" w:rsidRPr="00754E21" w14:paraId="38AEA87E"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C51863A" w14:textId="77777777" w:rsidR="00980018" w:rsidRPr="00754E21" w:rsidRDefault="00980018" w:rsidP="00980018">
            <w:pPr>
              <w:tabs>
                <w:tab w:val="left" w:pos="1152"/>
              </w:tabs>
              <w:rPr>
                <w:rFonts w:eastAsia="Times New Roman" w:cs="Arial"/>
                <w:lang w:val="en-GB" w:eastAsia="hr-BA"/>
              </w:rPr>
            </w:pPr>
            <w:r w:rsidRPr="00754E21">
              <w:rPr>
                <w:rFonts w:eastAsia="Calibri"/>
                <w:b/>
                <w:bCs/>
                <w:color w:val="000000"/>
                <w:kern w:val="24"/>
                <w:lang w:val="en-GB" w:eastAsia="hr-BA"/>
              </w:rPr>
              <w:lastRenderedPageBreak/>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972D38" w14:textId="77777777" w:rsidR="00980018" w:rsidRPr="00754E21" w:rsidRDefault="00077684" w:rsidP="00980018">
            <w:pPr>
              <w:jc w:val="both"/>
              <w:rPr>
                <w:rFonts w:eastAsia="Times New Roman" w:cstheme="minorHAnsi"/>
                <w:lang w:val="en-GB" w:eastAsia="hr-BA"/>
              </w:rPr>
            </w:pPr>
            <w:r>
              <w:rPr>
                <w:rFonts w:eastAsia="Times New Roman" w:cstheme="minorHAnsi"/>
                <w:lang w:val="en-GB" w:eastAsia="hr-BA"/>
              </w:rPr>
              <w:t xml:space="preserve">Students get introduced to specific elements of the work process and specificities </w:t>
            </w:r>
            <w:r>
              <w:rPr>
                <w:lang w:val="en-GB"/>
              </w:rPr>
              <w:t>of different distribution channels, strategies of global and local distribution, new distribution channels, economic and legal aspects</w:t>
            </w:r>
            <w:r w:rsidR="00980018" w:rsidRPr="00754E21">
              <w:rPr>
                <w:rFonts w:cstheme="minorHAnsi"/>
                <w:lang w:val="en-GB"/>
              </w:rPr>
              <w:t>.</w:t>
            </w:r>
          </w:p>
        </w:tc>
      </w:tr>
      <w:tr w:rsidR="00980018" w:rsidRPr="00754E21" w14:paraId="7DD91A23"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82BA06" w14:textId="77777777" w:rsidR="00980018" w:rsidRPr="00754E21" w:rsidRDefault="00980018" w:rsidP="00980018">
            <w:pPr>
              <w:rPr>
                <w:rFonts w:eastAsia="Times New Roman" w:cs="Arial"/>
                <w:lang w:val="en-GB" w:eastAsia="hr-BA"/>
              </w:rPr>
            </w:pPr>
            <w:r w:rsidRPr="00754E21">
              <w:rPr>
                <w:rFonts w:eastAsia="Calibri"/>
                <w:b/>
                <w:bCs/>
                <w:color w:val="000000"/>
                <w:kern w:val="24"/>
                <w:lang w:val="en-GB" w:eastAsia="hr-BA"/>
              </w:rPr>
              <w:t>Teaching methods:</w:t>
            </w:r>
            <w:r w:rsidRPr="00754E21">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274042" w14:textId="77777777" w:rsidR="00980018" w:rsidRPr="00754E21" w:rsidRDefault="00F75B4E" w:rsidP="00980018">
            <w:pPr>
              <w:rPr>
                <w:rFonts w:eastAsia="Times New Roman" w:cs="Arial"/>
                <w:lang w:val="en-GB" w:eastAsia="hr-BA"/>
              </w:rPr>
            </w:pPr>
            <w:r w:rsidRPr="00754E21">
              <w:rPr>
                <w:rFonts w:eastAsia="Times New Roman" w:cs="Arial"/>
                <w:lang w:val="en-GB" w:eastAsia="hr-BA"/>
              </w:rPr>
              <w:t>Lectures, exercises, seminars, workshops, case studies, master classes, individual exercises, tests</w:t>
            </w:r>
            <w:r w:rsidR="00980018" w:rsidRPr="00754E21">
              <w:rPr>
                <w:rFonts w:eastAsia="Times New Roman" w:cs="Arial"/>
                <w:lang w:val="en-GB" w:eastAsia="hr-BA"/>
              </w:rPr>
              <w:t>.</w:t>
            </w:r>
          </w:p>
        </w:tc>
      </w:tr>
      <w:tr w:rsidR="00980018" w:rsidRPr="00754E21" w14:paraId="3E740324"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CC9BCA" w14:textId="77777777" w:rsidR="00980018" w:rsidRPr="00754E21" w:rsidRDefault="00980018" w:rsidP="00980018">
            <w:pPr>
              <w:rPr>
                <w:rFonts w:eastAsia="Calibri"/>
                <w:color w:val="000000"/>
                <w:kern w:val="24"/>
                <w:lang w:val="en-GB" w:eastAsia="hr-BA"/>
              </w:rPr>
            </w:pPr>
            <w:r w:rsidRPr="00754E21">
              <w:rPr>
                <w:rFonts w:eastAsia="Calibri"/>
                <w:b/>
                <w:bCs/>
                <w:color w:val="000000"/>
                <w:kern w:val="24"/>
                <w:lang w:val="en-GB" w:eastAsia="hr-BA"/>
              </w:rPr>
              <w:t>Knowledge assessment methods with grading system</w:t>
            </w:r>
            <w:r w:rsidRPr="00754E21">
              <w:rPr>
                <w:rStyle w:val="FootnoteReference"/>
                <w:rFonts w:eastAsia="Calibri"/>
                <w:b/>
                <w:bCs/>
                <w:color w:val="000000"/>
                <w:kern w:val="24"/>
                <w:lang w:val="en-GB" w:eastAsia="hr-BA"/>
              </w:rPr>
              <w:footnoteReference w:id="1"/>
            </w:r>
            <w:r w:rsidRPr="00754E21">
              <w:rPr>
                <w:rFonts w:eastAsia="Calibri"/>
                <w:b/>
                <w:bCs/>
                <w:color w:val="000000"/>
                <w:kern w:val="24"/>
                <w:lang w:val="en-GB" w:eastAsia="hr-BA"/>
              </w:rPr>
              <w:t>:</w:t>
            </w:r>
            <w:r w:rsidRPr="00754E21">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815D97" w14:textId="77777777" w:rsidR="00980018" w:rsidRPr="00754E21" w:rsidRDefault="00F75B4E" w:rsidP="00F75D93">
            <w:pPr>
              <w:ind w:left="86"/>
              <w:jc w:val="both"/>
              <w:rPr>
                <w:rFonts w:eastAsia="Times New Roman" w:cs="Arial"/>
                <w:lang w:val="en-GB" w:eastAsia="hr-BA"/>
              </w:rPr>
            </w:pPr>
            <w:r w:rsidRPr="00754E21">
              <w:rPr>
                <w:rFonts w:eastAsia="Times New Roman" w:cs="Arial"/>
                <w:lang w:val="en-GB" w:eastAsia="hr-BA"/>
              </w:rPr>
              <w:t>Students’ activity is monitored by assigning points for every form of activity and by knowledge assessment during the semester, and on the final exam, according to the following monitoring elements</w:t>
            </w:r>
            <w:r w:rsidR="00980018" w:rsidRPr="00754E21">
              <w:rPr>
                <w:rFonts w:eastAsia="Times New Roman" w:cs="Arial"/>
                <w:lang w:val="en-GB" w:eastAsia="hr-BA"/>
              </w:rPr>
              <w:t>:</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F47789" w:rsidRPr="00754E21" w14:paraId="1D30D68C" w14:textId="77777777" w:rsidTr="00F47789">
              <w:trPr>
                <w:trHeight w:val="711"/>
                <w:jc w:val="center"/>
              </w:trPr>
              <w:tc>
                <w:tcPr>
                  <w:tcW w:w="738" w:type="dxa"/>
                  <w:shd w:val="clear" w:color="auto" w:fill="DBE5F1"/>
                  <w:vAlign w:val="center"/>
                </w:tcPr>
                <w:p w14:paraId="1DF02F17" w14:textId="77777777" w:rsidR="00F47789" w:rsidRPr="00754E21" w:rsidRDefault="00F47789" w:rsidP="00F47789">
                  <w:pPr>
                    <w:jc w:val="center"/>
                    <w:rPr>
                      <w:b/>
                      <w:lang w:val="en-GB"/>
                    </w:rPr>
                  </w:pPr>
                  <w:r w:rsidRPr="00754E21">
                    <w:rPr>
                      <w:b/>
                      <w:lang w:val="en-GB"/>
                    </w:rPr>
                    <w:t>Ord. no.</w:t>
                  </w:r>
                </w:p>
              </w:tc>
              <w:tc>
                <w:tcPr>
                  <w:tcW w:w="3864" w:type="dxa"/>
                  <w:shd w:val="clear" w:color="auto" w:fill="DBE5F1"/>
                  <w:vAlign w:val="center"/>
                </w:tcPr>
                <w:p w14:paraId="224B58E7" w14:textId="77777777" w:rsidR="00F47789" w:rsidRPr="00754E21" w:rsidRDefault="00F47789" w:rsidP="00F47789">
                  <w:pPr>
                    <w:rPr>
                      <w:b/>
                      <w:lang w:val="en-GB"/>
                    </w:rPr>
                  </w:pPr>
                  <w:r w:rsidRPr="00754E21">
                    <w:rPr>
                      <w:b/>
                      <w:lang w:val="en-GB"/>
                    </w:rPr>
                    <w:t xml:space="preserve">Monitoring elements </w:t>
                  </w:r>
                </w:p>
              </w:tc>
              <w:tc>
                <w:tcPr>
                  <w:tcW w:w="1417" w:type="dxa"/>
                  <w:shd w:val="clear" w:color="auto" w:fill="DBE5F1"/>
                  <w:vAlign w:val="center"/>
                </w:tcPr>
                <w:p w14:paraId="3F9E5DB3" w14:textId="77777777" w:rsidR="00F47789" w:rsidRPr="00754E21" w:rsidRDefault="00F47789" w:rsidP="00F47789">
                  <w:pPr>
                    <w:jc w:val="center"/>
                    <w:rPr>
                      <w:b/>
                      <w:lang w:val="en-GB"/>
                    </w:rPr>
                  </w:pPr>
                  <w:r w:rsidRPr="00754E21">
                    <w:rPr>
                      <w:b/>
                      <w:lang w:val="en-GB"/>
                    </w:rPr>
                    <w:t>Number of points</w:t>
                  </w:r>
                </w:p>
              </w:tc>
              <w:tc>
                <w:tcPr>
                  <w:tcW w:w="1312" w:type="dxa"/>
                  <w:shd w:val="clear" w:color="auto" w:fill="DBE5F1"/>
                  <w:vAlign w:val="center"/>
                </w:tcPr>
                <w:p w14:paraId="397D7651" w14:textId="77777777" w:rsidR="00F47789" w:rsidRPr="00754E21" w:rsidRDefault="00F47789" w:rsidP="00F47789">
                  <w:pPr>
                    <w:jc w:val="center"/>
                    <w:rPr>
                      <w:b/>
                      <w:lang w:val="en-GB"/>
                    </w:rPr>
                  </w:pPr>
                  <w:r w:rsidRPr="00754E21">
                    <w:rPr>
                      <w:b/>
                      <w:lang w:val="en-GB"/>
                    </w:rPr>
                    <w:t>Share in grade (%)</w:t>
                  </w:r>
                </w:p>
              </w:tc>
            </w:tr>
            <w:tr w:rsidR="00F75B4E" w:rsidRPr="00754E21" w14:paraId="1C373FA3" w14:textId="77777777" w:rsidTr="00F47789">
              <w:trPr>
                <w:jc w:val="center"/>
              </w:trPr>
              <w:tc>
                <w:tcPr>
                  <w:tcW w:w="738" w:type="dxa"/>
                  <w:shd w:val="clear" w:color="auto" w:fill="auto"/>
                  <w:vAlign w:val="center"/>
                </w:tcPr>
                <w:p w14:paraId="75A37985" w14:textId="77777777" w:rsidR="00F75B4E" w:rsidRPr="00754E21" w:rsidRDefault="00F75B4E" w:rsidP="00F75B4E">
                  <w:pPr>
                    <w:jc w:val="right"/>
                    <w:rPr>
                      <w:lang w:val="en-GB"/>
                    </w:rPr>
                  </w:pPr>
                  <w:r w:rsidRPr="00754E21">
                    <w:rPr>
                      <w:lang w:val="en-GB"/>
                    </w:rPr>
                    <w:t>1.</w:t>
                  </w:r>
                </w:p>
              </w:tc>
              <w:tc>
                <w:tcPr>
                  <w:tcW w:w="3864" w:type="dxa"/>
                  <w:shd w:val="clear" w:color="auto" w:fill="auto"/>
                </w:tcPr>
                <w:p w14:paraId="1B79DA28" w14:textId="77777777" w:rsidR="00F75B4E" w:rsidRPr="00754E21" w:rsidRDefault="00F75B4E" w:rsidP="00F75B4E">
                  <w:pPr>
                    <w:rPr>
                      <w:lang w:val="en-GB"/>
                    </w:rPr>
                  </w:pPr>
                  <w:r w:rsidRPr="00754E21">
                    <w:rPr>
                      <w:lang w:val="en-GB"/>
                    </w:rPr>
                    <w:t xml:space="preserve">Attendance </w:t>
                  </w:r>
                </w:p>
              </w:tc>
              <w:tc>
                <w:tcPr>
                  <w:tcW w:w="1417" w:type="dxa"/>
                  <w:shd w:val="clear" w:color="auto" w:fill="auto"/>
                  <w:vAlign w:val="center"/>
                </w:tcPr>
                <w:p w14:paraId="2CB2E74E" w14:textId="77777777" w:rsidR="00F75B4E" w:rsidRPr="00754E21" w:rsidRDefault="00F75B4E" w:rsidP="00F75B4E">
                  <w:pPr>
                    <w:jc w:val="center"/>
                    <w:rPr>
                      <w:lang w:val="en-GB"/>
                    </w:rPr>
                  </w:pPr>
                  <w:r w:rsidRPr="00754E21">
                    <w:rPr>
                      <w:lang w:val="en-GB"/>
                    </w:rPr>
                    <w:t>10</w:t>
                  </w:r>
                </w:p>
              </w:tc>
              <w:tc>
                <w:tcPr>
                  <w:tcW w:w="1312" w:type="dxa"/>
                  <w:vAlign w:val="center"/>
                </w:tcPr>
                <w:p w14:paraId="66606CB5" w14:textId="77777777" w:rsidR="00F75B4E" w:rsidRPr="00754E21" w:rsidRDefault="00F75B4E" w:rsidP="00F75B4E">
                  <w:pPr>
                    <w:jc w:val="center"/>
                    <w:rPr>
                      <w:lang w:val="en-GB"/>
                    </w:rPr>
                  </w:pPr>
                  <w:r w:rsidRPr="00754E21">
                    <w:rPr>
                      <w:lang w:val="en-GB"/>
                    </w:rPr>
                    <w:t>10</w:t>
                  </w:r>
                </w:p>
              </w:tc>
            </w:tr>
            <w:tr w:rsidR="00F75B4E" w:rsidRPr="00754E21" w14:paraId="72B0F7ED" w14:textId="77777777" w:rsidTr="00F47789">
              <w:trPr>
                <w:jc w:val="center"/>
              </w:trPr>
              <w:tc>
                <w:tcPr>
                  <w:tcW w:w="738" w:type="dxa"/>
                  <w:shd w:val="clear" w:color="auto" w:fill="auto"/>
                  <w:vAlign w:val="center"/>
                </w:tcPr>
                <w:p w14:paraId="0E910890" w14:textId="77777777" w:rsidR="00F75B4E" w:rsidRPr="00754E21" w:rsidRDefault="00F75B4E" w:rsidP="00F75B4E">
                  <w:pPr>
                    <w:jc w:val="right"/>
                    <w:rPr>
                      <w:lang w:val="en-GB"/>
                    </w:rPr>
                  </w:pPr>
                  <w:r w:rsidRPr="00754E21">
                    <w:rPr>
                      <w:lang w:val="en-GB"/>
                    </w:rPr>
                    <w:t>2.</w:t>
                  </w:r>
                </w:p>
              </w:tc>
              <w:tc>
                <w:tcPr>
                  <w:tcW w:w="3864" w:type="dxa"/>
                  <w:shd w:val="clear" w:color="auto" w:fill="auto"/>
                  <w:vAlign w:val="center"/>
                </w:tcPr>
                <w:p w14:paraId="6D024690" w14:textId="77777777" w:rsidR="00F75B4E" w:rsidRPr="00754E21" w:rsidRDefault="00F75B4E" w:rsidP="00F75B4E">
                  <w:pPr>
                    <w:jc w:val="both"/>
                    <w:rPr>
                      <w:lang w:val="en-GB"/>
                    </w:rPr>
                  </w:pPr>
                  <w:r w:rsidRPr="00754E21">
                    <w:rPr>
                      <w:lang w:val="en-GB"/>
                    </w:rPr>
                    <w:t>Student engagement</w:t>
                  </w:r>
                </w:p>
              </w:tc>
              <w:tc>
                <w:tcPr>
                  <w:tcW w:w="1417" w:type="dxa"/>
                  <w:shd w:val="clear" w:color="auto" w:fill="auto"/>
                  <w:vAlign w:val="center"/>
                </w:tcPr>
                <w:p w14:paraId="0B5A02BE" w14:textId="77777777" w:rsidR="00F75B4E" w:rsidRPr="00754E21" w:rsidRDefault="00F75B4E" w:rsidP="00F75B4E">
                  <w:pPr>
                    <w:jc w:val="center"/>
                    <w:rPr>
                      <w:lang w:val="en-GB"/>
                    </w:rPr>
                  </w:pPr>
                  <w:r w:rsidRPr="00754E21">
                    <w:rPr>
                      <w:lang w:val="en-GB"/>
                    </w:rPr>
                    <w:t>10</w:t>
                  </w:r>
                </w:p>
              </w:tc>
              <w:tc>
                <w:tcPr>
                  <w:tcW w:w="1312" w:type="dxa"/>
                  <w:vAlign w:val="center"/>
                </w:tcPr>
                <w:p w14:paraId="1727F364" w14:textId="77777777" w:rsidR="00F75B4E" w:rsidRPr="00754E21" w:rsidRDefault="00F75B4E" w:rsidP="00F75B4E">
                  <w:pPr>
                    <w:jc w:val="center"/>
                    <w:rPr>
                      <w:lang w:val="en-GB"/>
                    </w:rPr>
                  </w:pPr>
                  <w:r w:rsidRPr="00754E21">
                    <w:rPr>
                      <w:lang w:val="en-GB"/>
                    </w:rPr>
                    <w:t>10</w:t>
                  </w:r>
                </w:p>
              </w:tc>
            </w:tr>
            <w:tr w:rsidR="00F75B4E" w:rsidRPr="00754E21" w14:paraId="4FBDF584" w14:textId="77777777" w:rsidTr="00F47789">
              <w:trPr>
                <w:jc w:val="center"/>
              </w:trPr>
              <w:tc>
                <w:tcPr>
                  <w:tcW w:w="738" w:type="dxa"/>
                  <w:shd w:val="clear" w:color="auto" w:fill="auto"/>
                  <w:vAlign w:val="center"/>
                </w:tcPr>
                <w:p w14:paraId="0A242C92" w14:textId="77777777" w:rsidR="00F75B4E" w:rsidRPr="00754E21" w:rsidRDefault="00F75B4E" w:rsidP="00F75B4E">
                  <w:pPr>
                    <w:jc w:val="right"/>
                    <w:rPr>
                      <w:lang w:val="en-GB"/>
                    </w:rPr>
                  </w:pPr>
                  <w:r w:rsidRPr="00754E21">
                    <w:rPr>
                      <w:lang w:val="en-GB"/>
                    </w:rPr>
                    <w:t>3.</w:t>
                  </w:r>
                </w:p>
              </w:tc>
              <w:tc>
                <w:tcPr>
                  <w:tcW w:w="3864" w:type="dxa"/>
                  <w:shd w:val="clear" w:color="auto" w:fill="auto"/>
                  <w:vAlign w:val="center"/>
                </w:tcPr>
                <w:p w14:paraId="28CE9F0D" w14:textId="77777777" w:rsidR="00F75B4E" w:rsidRPr="00754E21" w:rsidRDefault="00F75B4E" w:rsidP="00F75B4E">
                  <w:pPr>
                    <w:jc w:val="both"/>
                    <w:rPr>
                      <w:lang w:val="en-GB"/>
                    </w:rPr>
                  </w:pPr>
                  <w:r w:rsidRPr="00754E21">
                    <w:rPr>
                      <w:lang w:val="en-GB"/>
                    </w:rPr>
                    <w:t>Tests</w:t>
                  </w:r>
                </w:p>
              </w:tc>
              <w:tc>
                <w:tcPr>
                  <w:tcW w:w="1417" w:type="dxa"/>
                  <w:shd w:val="clear" w:color="auto" w:fill="auto"/>
                  <w:vAlign w:val="center"/>
                </w:tcPr>
                <w:p w14:paraId="19B8908A" w14:textId="77777777" w:rsidR="00F75B4E" w:rsidRPr="00754E21" w:rsidRDefault="00F75B4E" w:rsidP="00F75B4E">
                  <w:pPr>
                    <w:jc w:val="center"/>
                    <w:rPr>
                      <w:lang w:val="en-GB"/>
                    </w:rPr>
                  </w:pPr>
                  <w:r w:rsidRPr="00754E21">
                    <w:rPr>
                      <w:lang w:val="en-GB"/>
                    </w:rPr>
                    <w:t>15</w:t>
                  </w:r>
                </w:p>
              </w:tc>
              <w:tc>
                <w:tcPr>
                  <w:tcW w:w="1312" w:type="dxa"/>
                  <w:vAlign w:val="center"/>
                </w:tcPr>
                <w:p w14:paraId="588DB74D" w14:textId="77777777" w:rsidR="00F75B4E" w:rsidRPr="00754E21" w:rsidRDefault="00F75B4E" w:rsidP="00F75B4E">
                  <w:pPr>
                    <w:rPr>
                      <w:lang w:val="en-GB"/>
                    </w:rPr>
                  </w:pPr>
                  <w:r w:rsidRPr="00754E21">
                    <w:rPr>
                      <w:lang w:val="en-GB"/>
                    </w:rPr>
                    <w:t xml:space="preserve"> 15</w:t>
                  </w:r>
                </w:p>
              </w:tc>
            </w:tr>
            <w:tr w:rsidR="00F75B4E" w:rsidRPr="00754E21" w14:paraId="12300C18" w14:textId="77777777" w:rsidTr="00F47789">
              <w:trPr>
                <w:jc w:val="center"/>
              </w:trPr>
              <w:tc>
                <w:tcPr>
                  <w:tcW w:w="738" w:type="dxa"/>
                  <w:shd w:val="clear" w:color="auto" w:fill="auto"/>
                  <w:vAlign w:val="center"/>
                </w:tcPr>
                <w:p w14:paraId="45809C0C" w14:textId="77777777" w:rsidR="00F75B4E" w:rsidRPr="00754E21" w:rsidRDefault="00F75B4E" w:rsidP="00F75B4E">
                  <w:pPr>
                    <w:jc w:val="right"/>
                    <w:rPr>
                      <w:lang w:val="en-GB"/>
                    </w:rPr>
                  </w:pPr>
                  <w:r w:rsidRPr="00754E21">
                    <w:rPr>
                      <w:lang w:val="en-GB"/>
                    </w:rPr>
                    <w:t>4.</w:t>
                  </w:r>
                </w:p>
              </w:tc>
              <w:tc>
                <w:tcPr>
                  <w:tcW w:w="3864" w:type="dxa"/>
                  <w:shd w:val="clear" w:color="auto" w:fill="auto"/>
                  <w:vAlign w:val="center"/>
                </w:tcPr>
                <w:p w14:paraId="71EF630E" w14:textId="77777777" w:rsidR="00F75B4E" w:rsidRPr="00754E21" w:rsidRDefault="00F75B4E" w:rsidP="00F75B4E">
                  <w:pPr>
                    <w:jc w:val="both"/>
                    <w:rPr>
                      <w:lang w:val="en-GB"/>
                    </w:rPr>
                  </w:pPr>
                  <w:r w:rsidRPr="00754E21">
                    <w:rPr>
                      <w:lang w:val="en-GB"/>
                    </w:rPr>
                    <w:t>Seminar paper</w:t>
                  </w:r>
                </w:p>
              </w:tc>
              <w:tc>
                <w:tcPr>
                  <w:tcW w:w="1417" w:type="dxa"/>
                  <w:shd w:val="clear" w:color="auto" w:fill="auto"/>
                  <w:vAlign w:val="center"/>
                </w:tcPr>
                <w:p w14:paraId="07B8031B" w14:textId="77777777" w:rsidR="00F75B4E" w:rsidRPr="00754E21" w:rsidRDefault="00F75B4E" w:rsidP="00F75B4E">
                  <w:pPr>
                    <w:jc w:val="center"/>
                    <w:rPr>
                      <w:lang w:val="en-GB"/>
                    </w:rPr>
                  </w:pPr>
                  <w:r w:rsidRPr="00754E21">
                    <w:rPr>
                      <w:lang w:val="en-GB"/>
                    </w:rPr>
                    <w:t>20</w:t>
                  </w:r>
                </w:p>
              </w:tc>
              <w:tc>
                <w:tcPr>
                  <w:tcW w:w="1312" w:type="dxa"/>
                  <w:vAlign w:val="center"/>
                </w:tcPr>
                <w:p w14:paraId="395BCF64" w14:textId="77777777" w:rsidR="00F75B4E" w:rsidRPr="00754E21" w:rsidRDefault="00F75B4E" w:rsidP="00F75B4E">
                  <w:pPr>
                    <w:jc w:val="center"/>
                    <w:rPr>
                      <w:lang w:val="en-GB"/>
                    </w:rPr>
                  </w:pPr>
                  <w:r w:rsidRPr="00754E21">
                    <w:rPr>
                      <w:lang w:val="en-GB"/>
                    </w:rPr>
                    <w:t>20</w:t>
                  </w:r>
                </w:p>
              </w:tc>
            </w:tr>
            <w:tr w:rsidR="00F75B4E" w:rsidRPr="00754E21" w14:paraId="285E372B" w14:textId="77777777" w:rsidTr="00F47789">
              <w:trPr>
                <w:jc w:val="center"/>
              </w:trPr>
              <w:tc>
                <w:tcPr>
                  <w:tcW w:w="738" w:type="dxa"/>
                  <w:shd w:val="clear" w:color="auto" w:fill="auto"/>
                  <w:vAlign w:val="center"/>
                </w:tcPr>
                <w:p w14:paraId="584CA340" w14:textId="77777777" w:rsidR="00F75B4E" w:rsidRPr="00754E21" w:rsidRDefault="00F75B4E" w:rsidP="00F75B4E">
                  <w:pPr>
                    <w:jc w:val="right"/>
                    <w:rPr>
                      <w:lang w:val="en-GB"/>
                    </w:rPr>
                  </w:pPr>
                  <w:r w:rsidRPr="00754E21">
                    <w:rPr>
                      <w:lang w:val="en-GB"/>
                    </w:rPr>
                    <w:t>5.</w:t>
                  </w:r>
                </w:p>
              </w:tc>
              <w:tc>
                <w:tcPr>
                  <w:tcW w:w="3864" w:type="dxa"/>
                  <w:shd w:val="clear" w:color="auto" w:fill="auto"/>
                  <w:vAlign w:val="center"/>
                </w:tcPr>
                <w:p w14:paraId="0F1FA060" w14:textId="77777777" w:rsidR="00F75B4E" w:rsidRPr="00754E21" w:rsidRDefault="00F75B4E" w:rsidP="00F75B4E">
                  <w:pPr>
                    <w:jc w:val="both"/>
                    <w:rPr>
                      <w:lang w:val="en-GB"/>
                    </w:rPr>
                  </w:pPr>
                  <w:r w:rsidRPr="00754E21">
                    <w:rPr>
                      <w:lang w:val="en-GB"/>
                    </w:rPr>
                    <w:t>Final exam</w:t>
                  </w:r>
                </w:p>
              </w:tc>
              <w:tc>
                <w:tcPr>
                  <w:tcW w:w="1417" w:type="dxa"/>
                  <w:shd w:val="clear" w:color="auto" w:fill="auto"/>
                  <w:vAlign w:val="center"/>
                </w:tcPr>
                <w:p w14:paraId="4B583959" w14:textId="77777777" w:rsidR="00F75B4E" w:rsidRPr="00754E21" w:rsidRDefault="00F75B4E" w:rsidP="00F75B4E">
                  <w:pPr>
                    <w:jc w:val="center"/>
                    <w:rPr>
                      <w:lang w:val="en-GB"/>
                    </w:rPr>
                  </w:pPr>
                  <w:r w:rsidRPr="00754E21">
                    <w:rPr>
                      <w:lang w:val="en-GB"/>
                    </w:rPr>
                    <w:t>45</w:t>
                  </w:r>
                </w:p>
              </w:tc>
              <w:tc>
                <w:tcPr>
                  <w:tcW w:w="1312" w:type="dxa"/>
                  <w:vAlign w:val="center"/>
                </w:tcPr>
                <w:p w14:paraId="129CE732" w14:textId="77777777" w:rsidR="00F75B4E" w:rsidRPr="00754E21" w:rsidRDefault="00F75B4E" w:rsidP="00F75B4E">
                  <w:pPr>
                    <w:jc w:val="center"/>
                    <w:rPr>
                      <w:lang w:val="en-GB"/>
                    </w:rPr>
                  </w:pPr>
                  <w:r w:rsidRPr="00754E21">
                    <w:rPr>
                      <w:lang w:val="en-GB"/>
                    </w:rPr>
                    <w:t>45</w:t>
                  </w:r>
                </w:p>
              </w:tc>
            </w:tr>
            <w:tr w:rsidR="00980018" w:rsidRPr="00754E21" w14:paraId="0116D296" w14:textId="77777777" w:rsidTr="00F47789">
              <w:trPr>
                <w:jc w:val="center"/>
              </w:trPr>
              <w:tc>
                <w:tcPr>
                  <w:tcW w:w="6019" w:type="dxa"/>
                  <w:gridSpan w:val="3"/>
                  <w:shd w:val="clear" w:color="auto" w:fill="auto"/>
                  <w:vAlign w:val="center"/>
                </w:tcPr>
                <w:p w14:paraId="41772378" w14:textId="77777777" w:rsidR="00980018" w:rsidRPr="00754E21" w:rsidRDefault="00F75B4E" w:rsidP="00980018">
                  <w:pPr>
                    <w:jc w:val="right"/>
                    <w:rPr>
                      <w:lang w:val="en-GB"/>
                    </w:rPr>
                  </w:pPr>
                  <w:r w:rsidRPr="00754E21">
                    <w:rPr>
                      <w:lang w:val="en-GB"/>
                    </w:rPr>
                    <w:t>Total: 100 points</w:t>
                  </w:r>
                </w:p>
              </w:tc>
              <w:tc>
                <w:tcPr>
                  <w:tcW w:w="1312" w:type="dxa"/>
                  <w:vAlign w:val="center"/>
                </w:tcPr>
                <w:p w14:paraId="12988AF0" w14:textId="77777777" w:rsidR="00980018" w:rsidRPr="00754E21" w:rsidRDefault="00980018" w:rsidP="00980018">
                  <w:pPr>
                    <w:jc w:val="center"/>
                    <w:rPr>
                      <w:lang w:val="en-GB"/>
                    </w:rPr>
                  </w:pPr>
                  <w:r w:rsidRPr="00754E21">
                    <w:rPr>
                      <w:lang w:val="en-GB"/>
                    </w:rPr>
                    <w:t>100%</w:t>
                  </w:r>
                </w:p>
              </w:tc>
            </w:tr>
          </w:tbl>
          <w:p w14:paraId="63997D36" w14:textId="77777777" w:rsidR="00980018" w:rsidRPr="00754E21" w:rsidRDefault="00980018" w:rsidP="00980018">
            <w:pPr>
              <w:rPr>
                <w:rFonts w:eastAsia="Times New Roman" w:cs="Arial"/>
                <w:lang w:val="en-GB" w:eastAsia="hr-BA"/>
              </w:rPr>
            </w:pPr>
          </w:p>
          <w:p w14:paraId="12656DB8" w14:textId="77777777" w:rsidR="00980018" w:rsidRPr="00754E21" w:rsidRDefault="00F47789" w:rsidP="00980018">
            <w:pPr>
              <w:ind w:left="86"/>
              <w:jc w:val="both"/>
              <w:rPr>
                <w:rFonts w:eastAsia="Times New Roman" w:cs="Arial"/>
                <w:lang w:val="en-GB" w:eastAsia="hr-BA"/>
              </w:rPr>
            </w:pPr>
            <w:r w:rsidRPr="00754E21">
              <w:rPr>
                <w:rFonts w:eastAsia="Times New Roman" w:cs="Arial"/>
                <w:lang w:val="en-GB" w:eastAsia="hr-BA"/>
              </w:rPr>
              <w:t>Students’ knowledge assessment is organised in exam periods stipulated by the academic calendar</w:t>
            </w:r>
            <w:r w:rsidR="00980018" w:rsidRPr="00754E21">
              <w:rPr>
                <w:rFonts w:eastAsia="Times New Roman" w:cs="Arial"/>
                <w:lang w:val="en-GB" w:eastAsia="hr-BA"/>
              </w:rPr>
              <w:t xml:space="preserve">. </w:t>
            </w:r>
          </w:p>
          <w:p w14:paraId="582ED667" w14:textId="77777777" w:rsidR="00980018" w:rsidRPr="00754E21" w:rsidRDefault="00F47789" w:rsidP="00980018">
            <w:pPr>
              <w:ind w:left="86"/>
              <w:jc w:val="both"/>
              <w:rPr>
                <w:rFonts w:eastAsia="Times New Roman" w:cs="Arial"/>
                <w:lang w:val="en-GB" w:eastAsia="hr-BA"/>
              </w:rPr>
            </w:pPr>
            <w:r w:rsidRPr="00754E21">
              <w:rPr>
                <w:rFonts w:eastAsia="Times New Roman" w:cs="Arial"/>
                <w:lang w:val="en-GB" w:eastAsia="hr-BA"/>
              </w:rPr>
              <w:t>Students who met the 55% criterion and performed other forms of activities during the semester (attendance, engagement, seminar paper) completed their duties under the course</w:t>
            </w:r>
            <w:r w:rsidR="00980018" w:rsidRPr="00754E21">
              <w:rPr>
                <w:rFonts w:eastAsia="Times New Roman" w:cs="Arial"/>
                <w:lang w:val="en-GB" w:eastAsia="hr-BA"/>
              </w:rPr>
              <w:t xml:space="preserve">. </w:t>
            </w:r>
            <w:r w:rsidRPr="00754E21">
              <w:rPr>
                <w:rFonts w:eastAsia="Times New Roman" w:cs="Arial"/>
                <w:lang w:val="en-GB" w:eastAsia="hr-BA"/>
              </w:rPr>
              <w:t>The teacher formulates the final grade on the basis of all assessment elements</w:t>
            </w:r>
            <w:r w:rsidR="00980018" w:rsidRPr="00754E21">
              <w:rPr>
                <w:rFonts w:eastAsia="Times New Roman" w:cs="Arial"/>
                <w:lang w:val="en-GB" w:eastAsia="hr-BA"/>
              </w:rPr>
              <w:t xml:space="preserve">. </w:t>
            </w:r>
          </w:p>
          <w:p w14:paraId="17E40DDA" w14:textId="77777777" w:rsidR="00980018" w:rsidRPr="00754E21" w:rsidRDefault="00F47789" w:rsidP="00980018">
            <w:pPr>
              <w:ind w:left="86"/>
              <w:rPr>
                <w:rFonts w:eastAsia="Times New Roman" w:cs="Arial"/>
                <w:lang w:val="en-GB" w:eastAsia="hr-BA"/>
              </w:rPr>
            </w:pPr>
            <w:r w:rsidRPr="00754E21">
              <w:rPr>
                <w:rFonts w:eastAsia="Times New Roman" w:cs="Arial"/>
                <w:lang w:val="en-GB" w:eastAsia="hr-BA"/>
              </w:rPr>
              <w:t>Students’ final success, following all forms of knowledge assessment, is evaluated and graded as follows</w:t>
            </w:r>
            <w:r w:rsidR="00980018" w:rsidRPr="00754E21">
              <w:rPr>
                <w:rFonts w:eastAsia="Times New Roman" w:cs="Arial"/>
                <w:lang w:val="en-GB" w:eastAsia="hr-BA"/>
              </w:rPr>
              <w:t>:</w:t>
            </w:r>
          </w:p>
          <w:p w14:paraId="22F43545" w14:textId="77777777" w:rsidR="00F75B4E" w:rsidRPr="00754E21" w:rsidRDefault="00F75B4E" w:rsidP="00F75B4E">
            <w:pPr>
              <w:ind w:left="86"/>
              <w:rPr>
                <w:rFonts w:eastAsia="Times New Roman" w:cs="Arial"/>
                <w:lang w:val="en-GB" w:eastAsia="hr-BA"/>
              </w:rPr>
            </w:pPr>
            <w:r w:rsidRPr="00754E21">
              <w:rPr>
                <w:rFonts w:eastAsia="Times New Roman" w:cs="Arial"/>
                <w:lang w:val="en-GB" w:eastAsia="hr-BA"/>
              </w:rPr>
              <w:t>a) 10 (A) - outstanding success, carries 95-100 points;</w:t>
            </w:r>
          </w:p>
          <w:p w14:paraId="0DAC6013" w14:textId="77777777" w:rsidR="00F75B4E" w:rsidRPr="00754E21" w:rsidRDefault="00F75B4E" w:rsidP="00F75B4E">
            <w:pPr>
              <w:ind w:left="86"/>
              <w:rPr>
                <w:rFonts w:eastAsia="Times New Roman" w:cs="Arial"/>
                <w:lang w:val="en-GB" w:eastAsia="hr-BA"/>
              </w:rPr>
            </w:pPr>
            <w:r w:rsidRPr="00754E21">
              <w:rPr>
                <w:rFonts w:eastAsia="Times New Roman" w:cs="Arial"/>
                <w:lang w:val="en-GB" w:eastAsia="hr-BA"/>
              </w:rPr>
              <w:t>b) 9 (B) - above average, carries 85-94 points;</w:t>
            </w:r>
          </w:p>
          <w:p w14:paraId="28EE81BC" w14:textId="77777777" w:rsidR="00F75B4E" w:rsidRPr="00754E21" w:rsidRDefault="00F75B4E" w:rsidP="00F75B4E">
            <w:pPr>
              <w:ind w:left="86"/>
              <w:rPr>
                <w:rFonts w:eastAsia="Times New Roman" w:cs="Arial"/>
                <w:lang w:val="en-GB" w:eastAsia="hr-BA"/>
              </w:rPr>
            </w:pPr>
            <w:r w:rsidRPr="00754E21">
              <w:rPr>
                <w:rFonts w:eastAsia="Times New Roman" w:cs="Arial"/>
                <w:lang w:val="en-GB" w:eastAsia="hr-BA"/>
              </w:rPr>
              <w:t>c) 8 (C) - average, carries 75-84 points;</w:t>
            </w:r>
          </w:p>
          <w:p w14:paraId="60F3D20D" w14:textId="77777777" w:rsidR="00F75B4E" w:rsidRPr="00754E21" w:rsidRDefault="00F75B4E" w:rsidP="00F75B4E">
            <w:pPr>
              <w:ind w:left="86"/>
              <w:rPr>
                <w:rFonts w:eastAsia="Times New Roman" w:cs="Arial"/>
                <w:lang w:val="en-GB" w:eastAsia="hr-BA"/>
              </w:rPr>
            </w:pPr>
            <w:r w:rsidRPr="00754E21">
              <w:rPr>
                <w:rFonts w:eastAsia="Times New Roman" w:cs="Arial"/>
                <w:lang w:val="en-GB" w:eastAsia="hr-BA"/>
              </w:rPr>
              <w:lastRenderedPageBreak/>
              <w:t>d) 7 (D) - generally good, however with more significant flaws, carries 65-74 points;</w:t>
            </w:r>
          </w:p>
          <w:p w14:paraId="04CE24E0" w14:textId="77777777" w:rsidR="00F75B4E" w:rsidRPr="00754E21" w:rsidRDefault="00F75B4E" w:rsidP="00F75B4E">
            <w:pPr>
              <w:ind w:left="86"/>
              <w:rPr>
                <w:rFonts w:eastAsia="Times New Roman" w:cs="Arial"/>
                <w:lang w:val="en-GB" w:eastAsia="hr-BA"/>
              </w:rPr>
            </w:pPr>
            <w:r w:rsidRPr="00754E21">
              <w:rPr>
                <w:rFonts w:eastAsia="Times New Roman" w:cs="Arial"/>
                <w:lang w:val="en-GB" w:eastAsia="hr-BA"/>
              </w:rPr>
              <w:t>e) 6 (E) - fulfils the minimum criteria, carries 55-64 points;</w:t>
            </w:r>
          </w:p>
          <w:p w14:paraId="73696B48" w14:textId="77777777" w:rsidR="00980018" w:rsidRPr="00754E21" w:rsidRDefault="00F75B4E" w:rsidP="00F75B4E">
            <w:pPr>
              <w:ind w:left="86"/>
              <w:jc w:val="both"/>
              <w:rPr>
                <w:rFonts w:eastAsia="Times New Roman" w:cs="Arial"/>
                <w:lang w:val="en-GB" w:eastAsia="hr-BA"/>
              </w:rPr>
            </w:pPr>
            <w:r w:rsidRPr="00754E21">
              <w:rPr>
                <w:rFonts w:eastAsia="Times New Roman" w:cs="Arial"/>
                <w:lang w:val="en-GB" w:eastAsia="hr-BA"/>
              </w:rPr>
              <w:t>f) 5 (F, FX) - does not fulfil the minimum criteria, less than 55 points</w:t>
            </w:r>
            <w:r w:rsidR="00980018" w:rsidRPr="00754E21">
              <w:rPr>
                <w:rFonts w:eastAsia="Times New Roman" w:cs="Arial"/>
                <w:lang w:val="en-GB" w:eastAsia="hr-BA"/>
              </w:rPr>
              <w:t>.</w:t>
            </w:r>
          </w:p>
          <w:p w14:paraId="2E45950E" w14:textId="77777777" w:rsidR="00980018" w:rsidRPr="00754E21" w:rsidRDefault="00F47789" w:rsidP="00980018">
            <w:pPr>
              <w:ind w:left="86"/>
              <w:jc w:val="both"/>
              <w:rPr>
                <w:rFonts w:eastAsia="Times New Roman" w:cs="Arial"/>
                <w:lang w:val="en-GB" w:eastAsia="hr-BA"/>
              </w:rPr>
            </w:pPr>
            <w:r w:rsidRPr="00754E21">
              <w:rPr>
                <w:rFonts w:eastAsia="Times New Roman" w:cs="Arial"/>
                <w:lang w:val="en-GB" w:eastAsia="hr-BA"/>
              </w:rPr>
              <w:t>The quality of teaching forms is monitored through a survey, discussions of professional bodies at the Department, following a review of work and practical exams, whereas success is measured by student pass rate</w:t>
            </w:r>
            <w:r w:rsidR="00980018" w:rsidRPr="00754E21">
              <w:rPr>
                <w:rFonts w:eastAsia="Times New Roman" w:cs="Arial"/>
                <w:lang w:val="en-GB" w:eastAsia="hr-BA"/>
              </w:rPr>
              <w:t>.</w:t>
            </w:r>
          </w:p>
        </w:tc>
      </w:tr>
      <w:tr w:rsidR="00980018" w:rsidRPr="00754E21" w14:paraId="1BF38CD2"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A959BE" w14:textId="77777777" w:rsidR="00980018" w:rsidRPr="00754E21" w:rsidRDefault="00980018" w:rsidP="00980018">
            <w:pPr>
              <w:rPr>
                <w:rFonts w:eastAsia="Calibri"/>
                <w:color w:val="000000"/>
                <w:kern w:val="24"/>
                <w:lang w:val="en-GB" w:eastAsia="hr-BA"/>
              </w:rPr>
            </w:pPr>
            <w:r w:rsidRPr="00754E21">
              <w:rPr>
                <w:rFonts w:eastAsia="Calibri"/>
                <w:b/>
                <w:bCs/>
                <w:color w:val="000000"/>
                <w:kern w:val="24"/>
                <w:lang w:val="en-GB" w:eastAsia="hr-BA"/>
              </w:rPr>
              <w:lastRenderedPageBreak/>
              <w:t>Literature</w:t>
            </w:r>
            <w:r w:rsidRPr="00754E21">
              <w:rPr>
                <w:rStyle w:val="FootnoteReference"/>
                <w:rFonts w:eastAsia="Calibri"/>
                <w:b/>
                <w:bCs/>
                <w:color w:val="000000"/>
                <w:kern w:val="24"/>
                <w:lang w:val="en-GB" w:eastAsia="hr-BA"/>
              </w:rPr>
              <w:footnoteReference w:id="2"/>
            </w:r>
            <w:r w:rsidRPr="00754E21">
              <w:rPr>
                <w:rFonts w:eastAsia="Calibri"/>
                <w:b/>
                <w:bCs/>
                <w:color w:val="000000"/>
                <w:kern w:val="24"/>
                <w:lang w:val="en-GB" w:eastAsia="hr-BA"/>
              </w:rPr>
              <w:t>:</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12E48373" w14:textId="77777777" w:rsidR="00980018" w:rsidRPr="00754E21" w:rsidRDefault="00F75D93" w:rsidP="00980018">
            <w:pPr>
              <w:pStyle w:val="Default"/>
              <w:rPr>
                <w:rFonts w:asciiTheme="minorHAnsi" w:hAnsiTheme="minorHAnsi"/>
                <w:b/>
                <w:sz w:val="22"/>
                <w:szCs w:val="22"/>
                <w:lang w:val="en-GB"/>
              </w:rPr>
            </w:pPr>
            <w:r w:rsidRPr="00754E21">
              <w:rPr>
                <w:rFonts w:asciiTheme="minorHAnsi" w:hAnsiTheme="minorHAnsi"/>
                <w:b/>
                <w:sz w:val="22"/>
                <w:szCs w:val="22"/>
                <w:lang w:val="en-GB"/>
              </w:rPr>
              <w:t>Compulsory</w:t>
            </w:r>
            <w:r w:rsidR="00980018" w:rsidRPr="00754E21">
              <w:rPr>
                <w:rFonts w:asciiTheme="minorHAnsi" w:hAnsiTheme="minorHAnsi"/>
                <w:b/>
                <w:sz w:val="22"/>
                <w:szCs w:val="22"/>
                <w:lang w:val="en-GB"/>
              </w:rPr>
              <w:t>:</w:t>
            </w:r>
          </w:p>
          <w:p w14:paraId="639399CF"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Robert Marich: </w:t>
            </w:r>
            <w:r w:rsidRPr="00754E21">
              <w:rPr>
                <w:rFonts w:asciiTheme="minorHAnsi" w:hAnsiTheme="minorHAnsi"/>
                <w:i/>
                <w:sz w:val="22"/>
                <w:szCs w:val="22"/>
                <w:lang w:val="en-GB"/>
              </w:rPr>
              <w:t xml:space="preserve">Marketing to </w:t>
            </w:r>
            <w:r w:rsidR="00D11F04" w:rsidRPr="00754E21">
              <w:rPr>
                <w:rFonts w:asciiTheme="minorHAnsi" w:hAnsiTheme="minorHAnsi"/>
                <w:i/>
                <w:sz w:val="22"/>
                <w:szCs w:val="22"/>
                <w:lang w:val="en-GB"/>
              </w:rPr>
              <w:t>M</w:t>
            </w:r>
            <w:r w:rsidRPr="00754E21">
              <w:rPr>
                <w:rFonts w:asciiTheme="minorHAnsi" w:hAnsiTheme="minorHAnsi"/>
                <w:i/>
                <w:sz w:val="22"/>
                <w:szCs w:val="22"/>
                <w:lang w:val="en-GB"/>
              </w:rPr>
              <w:t>oviegoers</w:t>
            </w:r>
            <w:r w:rsidRPr="00754E21">
              <w:rPr>
                <w:rFonts w:asciiTheme="minorHAnsi" w:hAnsiTheme="minorHAnsi"/>
                <w:sz w:val="22"/>
                <w:szCs w:val="22"/>
                <w:lang w:val="en-GB"/>
              </w:rPr>
              <w:t xml:space="preserve"> </w:t>
            </w:r>
          </w:p>
          <w:p w14:paraId="30807B88" w14:textId="77777777" w:rsidR="00980018" w:rsidRPr="00754E21" w:rsidRDefault="00980018" w:rsidP="00980018">
            <w:pPr>
              <w:pStyle w:val="Default"/>
              <w:rPr>
                <w:rFonts w:asciiTheme="minorHAnsi" w:hAnsiTheme="minorHAnsi"/>
                <w:i/>
                <w:sz w:val="22"/>
                <w:szCs w:val="22"/>
                <w:lang w:val="en-GB"/>
              </w:rPr>
            </w:pPr>
            <w:r w:rsidRPr="00754E21">
              <w:rPr>
                <w:rFonts w:asciiTheme="minorHAnsi" w:hAnsiTheme="minorHAnsi"/>
                <w:sz w:val="22"/>
                <w:szCs w:val="22"/>
                <w:lang w:val="en-GB"/>
              </w:rPr>
              <w:t xml:space="preserve">Jovan Marjanović: </w:t>
            </w:r>
            <w:r w:rsidRPr="00754E21">
              <w:rPr>
                <w:rFonts w:asciiTheme="minorHAnsi" w:hAnsiTheme="minorHAnsi"/>
                <w:i/>
                <w:sz w:val="22"/>
                <w:szCs w:val="22"/>
                <w:lang w:val="en-GB"/>
              </w:rPr>
              <w:t xml:space="preserve">Mapiranje filmske industrije BIH 2013 </w:t>
            </w:r>
          </w:p>
          <w:p w14:paraId="4C0FE85F"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John Howkins: </w:t>
            </w:r>
            <w:r w:rsidR="00F176E8">
              <w:rPr>
                <w:rFonts w:asciiTheme="minorHAnsi" w:hAnsiTheme="minorHAnsi"/>
                <w:i/>
                <w:sz w:val="22"/>
                <w:szCs w:val="22"/>
                <w:lang w:val="en-GB"/>
              </w:rPr>
              <w:t>The Creative Economy</w:t>
            </w:r>
            <w:r w:rsidRPr="00754E21">
              <w:rPr>
                <w:rFonts w:asciiTheme="minorHAnsi" w:hAnsiTheme="minorHAnsi"/>
                <w:sz w:val="22"/>
                <w:szCs w:val="22"/>
                <w:lang w:val="en-GB"/>
              </w:rPr>
              <w:t xml:space="preserve"> </w:t>
            </w:r>
          </w:p>
          <w:p w14:paraId="195267CB" w14:textId="77777777" w:rsidR="00980018" w:rsidRPr="00754E21" w:rsidRDefault="00980018" w:rsidP="00980018">
            <w:pPr>
              <w:pStyle w:val="Default"/>
              <w:rPr>
                <w:rFonts w:asciiTheme="minorHAnsi" w:hAnsiTheme="minorHAnsi"/>
                <w:i/>
                <w:sz w:val="22"/>
                <w:szCs w:val="22"/>
                <w:lang w:val="en-GB"/>
              </w:rPr>
            </w:pPr>
            <w:r w:rsidRPr="00754E21">
              <w:rPr>
                <w:rFonts w:asciiTheme="minorHAnsi" w:hAnsiTheme="minorHAnsi"/>
                <w:sz w:val="22"/>
                <w:szCs w:val="22"/>
                <w:lang w:val="en-GB"/>
              </w:rPr>
              <w:t xml:space="preserve">Harold Voegel: </w:t>
            </w:r>
            <w:r w:rsidRPr="00754E21">
              <w:rPr>
                <w:rFonts w:asciiTheme="minorHAnsi" w:hAnsiTheme="minorHAnsi"/>
                <w:i/>
                <w:sz w:val="22"/>
                <w:szCs w:val="22"/>
                <w:lang w:val="en-GB"/>
              </w:rPr>
              <w:t xml:space="preserve">Entertainment Industry Economics </w:t>
            </w:r>
          </w:p>
          <w:p w14:paraId="0964A413"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Angus Finney: </w:t>
            </w:r>
            <w:r w:rsidRPr="00754E21">
              <w:rPr>
                <w:rFonts w:asciiTheme="minorHAnsi" w:hAnsiTheme="minorHAnsi"/>
                <w:i/>
                <w:sz w:val="22"/>
                <w:szCs w:val="22"/>
                <w:lang w:val="en-GB"/>
              </w:rPr>
              <w:t xml:space="preserve">The </w:t>
            </w:r>
            <w:r w:rsidR="00D11F04" w:rsidRPr="00754E21">
              <w:rPr>
                <w:rFonts w:asciiTheme="minorHAnsi" w:hAnsiTheme="minorHAnsi"/>
                <w:i/>
                <w:sz w:val="22"/>
                <w:szCs w:val="22"/>
                <w:lang w:val="en-GB"/>
              </w:rPr>
              <w:t>I</w:t>
            </w:r>
            <w:r w:rsidRPr="00754E21">
              <w:rPr>
                <w:rFonts w:asciiTheme="minorHAnsi" w:hAnsiTheme="minorHAnsi"/>
                <w:i/>
                <w:sz w:val="22"/>
                <w:szCs w:val="22"/>
                <w:lang w:val="en-GB"/>
              </w:rPr>
              <w:t>nternational Film Business</w:t>
            </w:r>
            <w:r w:rsidRPr="00754E21">
              <w:rPr>
                <w:rFonts w:asciiTheme="minorHAnsi" w:hAnsiTheme="minorHAnsi"/>
                <w:sz w:val="22"/>
                <w:szCs w:val="22"/>
                <w:lang w:val="en-GB"/>
              </w:rPr>
              <w:t xml:space="preserve"> </w:t>
            </w:r>
          </w:p>
          <w:p w14:paraId="74F731C2"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Jurica Pavičić: </w:t>
            </w:r>
            <w:r w:rsidRPr="00754E21">
              <w:rPr>
                <w:rFonts w:asciiTheme="minorHAnsi" w:hAnsiTheme="minorHAnsi"/>
                <w:i/>
                <w:sz w:val="22"/>
                <w:szCs w:val="22"/>
                <w:lang w:val="en-GB"/>
              </w:rPr>
              <w:t>Postjugoslavenski film: Stil i ideologija</w:t>
            </w:r>
            <w:r w:rsidRPr="00754E21">
              <w:rPr>
                <w:rFonts w:asciiTheme="minorHAnsi" w:hAnsiTheme="minorHAnsi"/>
                <w:sz w:val="22"/>
                <w:szCs w:val="22"/>
                <w:lang w:val="en-GB"/>
              </w:rPr>
              <w:t xml:space="preserve"> </w:t>
            </w:r>
          </w:p>
          <w:p w14:paraId="4A3CDCE8"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Finola Kerrigan: </w:t>
            </w:r>
            <w:r w:rsidRPr="00754E21">
              <w:rPr>
                <w:rFonts w:asciiTheme="minorHAnsi" w:hAnsiTheme="minorHAnsi"/>
                <w:i/>
                <w:sz w:val="22"/>
                <w:szCs w:val="22"/>
                <w:lang w:val="en-GB"/>
              </w:rPr>
              <w:t>Film Marketing</w:t>
            </w:r>
          </w:p>
        </w:tc>
      </w:tr>
    </w:tbl>
    <w:p w14:paraId="696E1447" w14:textId="77777777" w:rsidR="004E41A2" w:rsidRPr="00754E21" w:rsidRDefault="004E41A2">
      <w:pPr>
        <w:rPr>
          <w:lang w:val="en-GB"/>
        </w:rPr>
      </w:pPr>
    </w:p>
    <w:sectPr w:rsidR="004E41A2" w:rsidRPr="00754E21" w:rsidSect="00F4778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6709C" w14:textId="77777777" w:rsidR="008924EC" w:rsidRDefault="008924EC" w:rsidP="004D5601">
      <w:pPr>
        <w:spacing w:after="0" w:line="240" w:lineRule="auto"/>
      </w:pPr>
      <w:r>
        <w:separator/>
      </w:r>
    </w:p>
  </w:endnote>
  <w:endnote w:type="continuationSeparator" w:id="0">
    <w:p w14:paraId="10C88D1E" w14:textId="77777777" w:rsidR="008924EC" w:rsidRDefault="008924EC"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4067" w14:textId="77777777" w:rsidR="006E3D14" w:rsidRDefault="006E3D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A002" w14:textId="77777777" w:rsidR="006E3D14" w:rsidRDefault="006E3D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03A9" w14:textId="77777777" w:rsidR="006E3D14" w:rsidRDefault="006E3D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BD1ED" w14:textId="77777777" w:rsidR="008924EC" w:rsidRDefault="008924EC" w:rsidP="004D5601">
      <w:pPr>
        <w:spacing w:after="0" w:line="240" w:lineRule="auto"/>
      </w:pPr>
      <w:r>
        <w:separator/>
      </w:r>
    </w:p>
  </w:footnote>
  <w:footnote w:type="continuationSeparator" w:id="0">
    <w:p w14:paraId="40D46A8B" w14:textId="77777777" w:rsidR="008924EC" w:rsidRDefault="008924EC" w:rsidP="004D5601">
      <w:pPr>
        <w:spacing w:after="0" w:line="240" w:lineRule="auto"/>
      </w:pPr>
      <w:r>
        <w:continuationSeparator/>
      </w:r>
    </w:p>
  </w:footnote>
  <w:footnote w:id="1">
    <w:p w14:paraId="63C095D9" w14:textId="77777777" w:rsidR="007856DD" w:rsidRPr="00156B78" w:rsidRDefault="007856DD" w:rsidP="00980018">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6E4195FF" w14:textId="77777777" w:rsidR="007856DD" w:rsidRPr="00156B78" w:rsidRDefault="007856DD" w:rsidP="00980018">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FCA8A" w14:textId="77777777" w:rsidR="006E3D14" w:rsidRDefault="006E3D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7856DD" w14:paraId="13189606" w14:textId="77777777" w:rsidTr="00F47789">
      <w:trPr>
        <w:cantSplit/>
        <w:trHeight w:val="564"/>
      </w:trPr>
      <w:tc>
        <w:tcPr>
          <w:tcW w:w="4083" w:type="pct"/>
          <w:vMerge w:val="restart"/>
          <w:tcBorders>
            <w:top w:val="single" w:sz="4" w:space="0" w:color="auto"/>
            <w:left w:val="single" w:sz="4" w:space="0" w:color="auto"/>
            <w:right w:val="single" w:sz="4" w:space="0" w:color="auto"/>
          </w:tcBorders>
          <w:vAlign w:val="center"/>
        </w:tcPr>
        <w:p w14:paraId="57DAE5C4" w14:textId="77777777" w:rsidR="007856DD" w:rsidRPr="00156B78" w:rsidRDefault="007856DD"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03AD7AD5" w14:textId="77777777" w:rsidR="007856DD" w:rsidRPr="00ED5C2C" w:rsidRDefault="007856DD"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314DDCB3" w14:textId="77777777" w:rsidR="007856DD" w:rsidRPr="00ED5C2C" w:rsidRDefault="007856DD" w:rsidP="00F47789">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7856DD" w14:paraId="56BBC03B" w14:textId="77777777" w:rsidTr="00F47789">
      <w:trPr>
        <w:cantSplit/>
        <w:trHeight w:val="416"/>
      </w:trPr>
      <w:tc>
        <w:tcPr>
          <w:tcW w:w="4083" w:type="pct"/>
          <w:vMerge/>
          <w:tcBorders>
            <w:left w:val="single" w:sz="4" w:space="0" w:color="auto"/>
            <w:bottom w:val="single" w:sz="4" w:space="0" w:color="auto"/>
            <w:right w:val="single" w:sz="4" w:space="0" w:color="auto"/>
          </w:tcBorders>
          <w:vAlign w:val="center"/>
        </w:tcPr>
        <w:p w14:paraId="3140133C" w14:textId="77777777" w:rsidR="007856DD" w:rsidRDefault="007856DD" w:rsidP="00F47789">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022EC156" w14:textId="77777777" w:rsidR="007856DD" w:rsidRPr="00ED5C2C" w:rsidRDefault="007856DD"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6E3D14">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6E3D14">
            <w:rPr>
              <w:rFonts w:ascii="Calibri" w:hAnsi="Calibri" w:cs="Calibri"/>
              <w:b/>
              <w:bCs/>
              <w:noProof/>
              <w:sz w:val="20"/>
            </w:rPr>
            <w:t>3</w:t>
          </w:r>
          <w:r w:rsidRPr="008F449E">
            <w:rPr>
              <w:rFonts w:ascii="Calibri" w:hAnsi="Calibri" w:cs="Calibri"/>
              <w:b/>
              <w:bCs/>
              <w:sz w:val="20"/>
            </w:rPr>
            <w:fldChar w:fldCharType="end"/>
          </w:r>
        </w:p>
      </w:tc>
    </w:tr>
  </w:tbl>
  <w:p w14:paraId="7BCA75EB" w14:textId="77777777" w:rsidR="007856DD" w:rsidRDefault="007856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2486E" w14:textId="77777777" w:rsidR="007856DD" w:rsidRDefault="007856DD" w:rsidP="00F47789">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7856DD" w14:paraId="6394A5B4" w14:textId="77777777" w:rsidTr="00F47789">
      <w:trPr>
        <w:cantSplit/>
        <w:trHeight w:val="834"/>
      </w:trPr>
      <w:tc>
        <w:tcPr>
          <w:tcW w:w="4129" w:type="pct"/>
          <w:vMerge w:val="restart"/>
          <w:tcBorders>
            <w:top w:val="single" w:sz="4" w:space="0" w:color="auto"/>
            <w:left w:val="single" w:sz="4" w:space="0" w:color="auto"/>
            <w:right w:val="single" w:sz="4" w:space="0" w:color="auto"/>
          </w:tcBorders>
          <w:vAlign w:val="center"/>
        </w:tcPr>
        <w:p w14:paraId="1AC9F3FB" w14:textId="77777777" w:rsidR="006E3D14" w:rsidRPr="00ED5C2C" w:rsidRDefault="007856DD" w:rsidP="006E3D14">
          <w:pPr>
            <w:rPr>
              <w:rFonts w:ascii="Calibri" w:hAnsi="Calibri" w:cs="Calibri"/>
              <w:b/>
              <w:color w:val="7F7F7F"/>
              <w:sz w:val="16"/>
            </w:rPr>
          </w:pPr>
          <w:r>
            <w:rPr>
              <w:rFonts w:ascii="Calibri" w:hAnsi="Calibri" w:cs="Calibri"/>
              <w:b/>
              <w:noProof/>
              <w:sz w:val="16"/>
              <w:lang w:val="en-GB" w:eastAsia="en-GB"/>
            </w:rPr>
            <w:drawing>
              <wp:inline distT="0" distB="0" distL="0" distR="0" wp14:anchorId="4D491BEA" wp14:editId="08C0B3DB">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6E3D14">
            <w:rPr>
              <w:rFonts w:ascii="Calibri" w:hAnsi="Calibri" w:cs="Calibri"/>
              <w:b/>
              <w:noProof/>
              <w:color w:val="7F7F7F"/>
              <w:sz w:val="16"/>
              <w:lang w:val="en-GB" w:eastAsia="en-GB"/>
            </w:rPr>
            <w:drawing>
              <wp:inline distT="0" distB="0" distL="0" distR="0" wp14:anchorId="37D4DC2C" wp14:editId="7C0F5F3E">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50A1B149" w14:textId="77777777" w:rsidR="006E3D14" w:rsidRPr="00156B78" w:rsidRDefault="006E3D14" w:rsidP="006E3D14">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657D057E" w14:textId="5ADACC66" w:rsidR="007856DD" w:rsidRPr="00ED5C2C" w:rsidRDefault="006E3D14" w:rsidP="006E3D14">
          <w:pPr>
            <w:jc w:val="center"/>
            <w:rPr>
              <w:rFonts w:ascii="Calibri" w:hAnsi="Calibri" w:cs="Calibri"/>
              <w:b/>
              <w:sz w:val="28"/>
              <w:szCs w:val="28"/>
            </w:rPr>
          </w:pPr>
          <w:r>
            <w:rPr>
              <w:rFonts w:ascii="Calibri" w:hAnsi="Calibri" w:cs="Calibri"/>
              <w:b/>
              <w:color w:val="7F7F7F"/>
              <w:spacing w:val="20"/>
              <w:szCs w:val="28"/>
            </w:rPr>
            <w:t xml:space="preserve">CULKTURAL MANAGEMENT AND PRODUCING FOR PERFORMING ARTS </w:t>
          </w:r>
          <w:r>
            <w:rPr>
              <w:rFonts w:ascii="Calibri" w:hAnsi="Calibri" w:cs="Calibri"/>
              <w:b/>
              <w:color w:val="7F7F7F"/>
              <w:spacing w:val="20"/>
              <w:szCs w:val="28"/>
            </w:rPr>
            <w:t>V</w:t>
          </w:r>
          <w:bookmarkStart w:id="0" w:name="_GoBack"/>
          <w:bookmarkEnd w:id="0"/>
          <w:r>
            <w:rPr>
              <w:rFonts w:ascii="Calibri" w:hAnsi="Calibri" w:cs="Calibri"/>
              <w:b/>
              <w:color w:val="7F7F7F"/>
              <w:spacing w:val="20"/>
              <w:szCs w:val="28"/>
            </w:rPr>
            <w:t>III</w:t>
          </w:r>
        </w:p>
      </w:tc>
      <w:tc>
        <w:tcPr>
          <w:tcW w:w="871" w:type="pct"/>
          <w:tcBorders>
            <w:top w:val="single" w:sz="4" w:space="0" w:color="auto"/>
            <w:left w:val="single" w:sz="4" w:space="0" w:color="auto"/>
            <w:right w:val="single" w:sz="4" w:space="0" w:color="auto"/>
          </w:tcBorders>
          <w:vAlign w:val="center"/>
        </w:tcPr>
        <w:p w14:paraId="0848954F" w14:textId="77777777" w:rsidR="007856DD" w:rsidRPr="00ED5C2C" w:rsidRDefault="007856DD"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7856DD" w14:paraId="2F23DCAE" w14:textId="77777777" w:rsidTr="00F47789">
      <w:trPr>
        <w:cantSplit/>
        <w:trHeight w:val="420"/>
      </w:trPr>
      <w:tc>
        <w:tcPr>
          <w:tcW w:w="4129" w:type="pct"/>
          <w:vMerge/>
          <w:tcBorders>
            <w:left w:val="single" w:sz="4" w:space="0" w:color="auto"/>
            <w:bottom w:val="single" w:sz="4" w:space="0" w:color="auto"/>
            <w:right w:val="single" w:sz="4" w:space="0" w:color="auto"/>
          </w:tcBorders>
          <w:vAlign w:val="center"/>
        </w:tcPr>
        <w:p w14:paraId="58A5D876" w14:textId="77777777" w:rsidR="007856DD" w:rsidRDefault="007856DD" w:rsidP="00F47789">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6D6DFA2F" w14:textId="77777777" w:rsidR="007856DD" w:rsidRPr="00ED5C2C" w:rsidRDefault="007856DD"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6E3D14">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6E3D14">
            <w:rPr>
              <w:rFonts w:ascii="Calibri" w:hAnsi="Calibri" w:cs="Calibri"/>
              <w:b/>
              <w:bCs/>
              <w:noProof/>
              <w:sz w:val="20"/>
            </w:rPr>
            <w:t>3</w:t>
          </w:r>
          <w:r w:rsidRPr="008F449E">
            <w:rPr>
              <w:rFonts w:ascii="Calibri" w:hAnsi="Calibri" w:cs="Calibri"/>
              <w:b/>
              <w:bCs/>
              <w:sz w:val="20"/>
            </w:rPr>
            <w:fldChar w:fldCharType="end"/>
          </w:r>
        </w:p>
      </w:tc>
    </w:tr>
  </w:tbl>
  <w:p w14:paraId="0DD5BF94" w14:textId="77777777" w:rsidR="007856DD" w:rsidRDefault="007856DD" w:rsidP="00F47789">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3D4B"/>
    <w:rsid w:val="000203BC"/>
    <w:rsid w:val="00077684"/>
    <w:rsid w:val="000964AE"/>
    <w:rsid w:val="000A668C"/>
    <w:rsid w:val="000D686E"/>
    <w:rsid w:val="00126720"/>
    <w:rsid w:val="00131101"/>
    <w:rsid w:val="00172179"/>
    <w:rsid w:val="00184C89"/>
    <w:rsid w:val="002038FD"/>
    <w:rsid w:val="002354E9"/>
    <w:rsid w:val="00266C7D"/>
    <w:rsid w:val="002C4D2A"/>
    <w:rsid w:val="00326F43"/>
    <w:rsid w:val="00340DAC"/>
    <w:rsid w:val="00341DD6"/>
    <w:rsid w:val="0035751E"/>
    <w:rsid w:val="003A435C"/>
    <w:rsid w:val="003B3E94"/>
    <w:rsid w:val="003D1CFE"/>
    <w:rsid w:val="00403C76"/>
    <w:rsid w:val="00415220"/>
    <w:rsid w:val="0044291D"/>
    <w:rsid w:val="00454B0D"/>
    <w:rsid w:val="00461DBC"/>
    <w:rsid w:val="00477C72"/>
    <w:rsid w:val="004B69EA"/>
    <w:rsid w:val="004C0621"/>
    <w:rsid w:val="004D2E34"/>
    <w:rsid w:val="004D5601"/>
    <w:rsid w:val="004E41A2"/>
    <w:rsid w:val="00504ED1"/>
    <w:rsid w:val="00514A9E"/>
    <w:rsid w:val="00526BB8"/>
    <w:rsid w:val="005A7021"/>
    <w:rsid w:val="005B26C7"/>
    <w:rsid w:val="005C0182"/>
    <w:rsid w:val="005D4B85"/>
    <w:rsid w:val="005E1597"/>
    <w:rsid w:val="00613127"/>
    <w:rsid w:val="00651628"/>
    <w:rsid w:val="006A6205"/>
    <w:rsid w:val="006E3D14"/>
    <w:rsid w:val="006F67AF"/>
    <w:rsid w:val="007061BA"/>
    <w:rsid w:val="00752035"/>
    <w:rsid w:val="00754E21"/>
    <w:rsid w:val="007750F3"/>
    <w:rsid w:val="007856DD"/>
    <w:rsid w:val="007944FD"/>
    <w:rsid w:val="007A4DED"/>
    <w:rsid w:val="007D3E27"/>
    <w:rsid w:val="007E60A5"/>
    <w:rsid w:val="007F13BE"/>
    <w:rsid w:val="008154CB"/>
    <w:rsid w:val="0088708A"/>
    <w:rsid w:val="008924EC"/>
    <w:rsid w:val="00916C2E"/>
    <w:rsid w:val="00927A65"/>
    <w:rsid w:val="00931533"/>
    <w:rsid w:val="00935F24"/>
    <w:rsid w:val="00950DEC"/>
    <w:rsid w:val="00967F05"/>
    <w:rsid w:val="00980018"/>
    <w:rsid w:val="00992E01"/>
    <w:rsid w:val="009E53C6"/>
    <w:rsid w:val="009E56CD"/>
    <w:rsid w:val="00A2020C"/>
    <w:rsid w:val="00A76FF9"/>
    <w:rsid w:val="00B157AF"/>
    <w:rsid w:val="00BA0B86"/>
    <w:rsid w:val="00BD03B5"/>
    <w:rsid w:val="00BE3382"/>
    <w:rsid w:val="00C342BA"/>
    <w:rsid w:val="00C9587B"/>
    <w:rsid w:val="00CE2E92"/>
    <w:rsid w:val="00D06217"/>
    <w:rsid w:val="00D11F04"/>
    <w:rsid w:val="00D537B9"/>
    <w:rsid w:val="00DA3745"/>
    <w:rsid w:val="00DB707F"/>
    <w:rsid w:val="00DC1EA0"/>
    <w:rsid w:val="00DE4059"/>
    <w:rsid w:val="00EA758B"/>
    <w:rsid w:val="00EE5810"/>
    <w:rsid w:val="00F00FD6"/>
    <w:rsid w:val="00F05AA2"/>
    <w:rsid w:val="00F176E8"/>
    <w:rsid w:val="00F47789"/>
    <w:rsid w:val="00F75B4E"/>
    <w:rsid w:val="00F75D93"/>
    <w:rsid w:val="00F80CBE"/>
    <w:rsid w:val="00FA79B7"/>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462F"/>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4E41A2"/>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611</Words>
  <Characters>3486</Characters>
  <Application>Microsoft Macintosh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45</cp:revision>
  <dcterms:created xsi:type="dcterms:W3CDTF">2020-03-31T22:49:00Z</dcterms:created>
  <dcterms:modified xsi:type="dcterms:W3CDTF">2020-05-20T12:52:00Z</dcterms:modified>
</cp:coreProperties>
</file>