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7"/>
        <w:gridCol w:w="362"/>
        <w:gridCol w:w="1453"/>
        <w:gridCol w:w="3115"/>
        <w:gridCol w:w="2980"/>
      </w:tblGrid>
      <w:tr w:rsidR="004D5601" w:rsidRPr="008B313B" w14:paraId="13EB985D"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87C4B7F" w14:textId="77777777" w:rsidR="00F00FD6" w:rsidRPr="008B313B" w:rsidRDefault="003D1CFE" w:rsidP="00F00FD6">
            <w:pPr>
              <w:spacing w:after="0" w:line="240" w:lineRule="auto"/>
              <w:rPr>
                <w:rFonts w:eastAsia="Times New Roman" w:cs="Arial"/>
                <w:lang w:val="en-GB" w:eastAsia="hr-BA"/>
              </w:rPr>
            </w:pPr>
            <w:r w:rsidRPr="008B313B">
              <w:rPr>
                <w:rFonts w:eastAsia="Calibri"/>
                <w:b/>
                <w:bCs/>
                <w:color w:val="000000"/>
                <w:kern w:val="24"/>
                <w:lang w:val="en-GB" w:eastAsia="hr-BA"/>
              </w:rPr>
              <w:t>Course code</w:t>
            </w:r>
            <w:r w:rsidR="004D5601" w:rsidRPr="008B313B">
              <w:rPr>
                <w:rFonts w:eastAsia="Calibri"/>
                <w:b/>
                <w:bCs/>
                <w:color w:val="000000"/>
                <w:kern w:val="24"/>
                <w:lang w:val="en-GB" w:eastAsia="hr-BA"/>
              </w:rPr>
              <w:t>:</w:t>
            </w:r>
            <w:r w:rsidR="004D5601" w:rsidRPr="008B313B">
              <w:rPr>
                <w:rFonts w:eastAsia="Times New Roman" w:cs="Arial"/>
                <w:lang w:val="en-GB" w:eastAsia="hr-BA"/>
              </w:rPr>
              <w:t xml:space="preserve"> </w:t>
            </w:r>
            <w:r w:rsidR="005C71CE" w:rsidRPr="008B313B">
              <w:rPr>
                <w:rFonts w:eastAsia="Times New Roman" w:cstheme="minorHAnsi"/>
                <w:lang w:val="en-GB" w:eastAsia="hr-BA"/>
              </w:rPr>
              <w:t>PROD0708</w:t>
            </w:r>
          </w:p>
          <w:p w14:paraId="7369021A" w14:textId="77777777" w:rsidR="004D5601" w:rsidRPr="008B313B"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E829DC7" w14:textId="7F0BC5FC" w:rsidR="004D5601" w:rsidRPr="008B313B" w:rsidRDefault="003D1CFE" w:rsidP="00BA0B86">
            <w:pPr>
              <w:spacing w:after="0" w:line="240" w:lineRule="auto"/>
              <w:ind w:left="1627" w:hanging="1627"/>
              <w:rPr>
                <w:rFonts w:eastAsia="Times New Roman" w:cs="Arial"/>
                <w:lang w:val="en-GB" w:eastAsia="hr-BA"/>
              </w:rPr>
            </w:pPr>
            <w:r w:rsidRPr="008B313B">
              <w:rPr>
                <w:rFonts w:eastAsia="Calibri"/>
                <w:b/>
                <w:bCs/>
                <w:color w:val="000000"/>
                <w:kern w:val="24"/>
                <w:lang w:val="en-GB" w:eastAsia="hr-BA"/>
              </w:rPr>
              <w:t>Course name</w:t>
            </w:r>
            <w:r w:rsidR="004D5601" w:rsidRPr="008B313B">
              <w:rPr>
                <w:rFonts w:eastAsia="Calibri"/>
                <w:b/>
                <w:bCs/>
                <w:color w:val="000000"/>
                <w:kern w:val="24"/>
                <w:lang w:val="en-GB" w:eastAsia="hr-BA"/>
              </w:rPr>
              <w:t>:</w:t>
            </w:r>
            <w:r w:rsidR="00776681" w:rsidRPr="008B313B">
              <w:rPr>
                <w:rFonts w:eastAsia="Calibri"/>
                <w:b/>
                <w:bCs/>
                <w:color w:val="000000"/>
                <w:kern w:val="24"/>
                <w:lang w:val="en-GB" w:eastAsia="hr-BA"/>
              </w:rPr>
              <w:t xml:space="preserve"> </w:t>
            </w:r>
            <w:r w:rsidR="005C71CE" w:rsidRPr="008B313B">
              <w:rPr>
                <w:rFonts w:eastAsia="Calibri"/>
                <w:b/>
                <w:bCs/>
                <w:color w:val="000000"/>
                <w:kern w:val="24"/>
                <w:lang w:val="en-GB" w:eastAsia="hr-BA"/>
              </w:rPr>
              <w:t xml:space="preserve">Genres and Formats in </w:t>
            </w:r>
            <w:proofErr w:type="spellStart"/>
            <w:r w:rsidR="005C71CE" w:rsidRPr="008B313B">
              <w:rPr>
                <w:rFonts w:eastAsia="Calibri"/>
                <w:b/>
                <w:bCs/>
                <w:color w:val="000000"/>
                <w:kern w:val="24"/>
                <w:lang w:val="en-GB" w:eastAsia="hr-BA"/>
              </w:rPr>
              <w:t>Postbroadcast</w:t>
            </w:r>
            <w:proofErr w:type="spellEnd"/>
            <w:r w:rsidR="005C71CE" w:rsidRPr="008B313B">
              <w:rPr>
                <w:rFonts w:eastAsia="Calibri"/>
                <w:b/>
                <w:bCs/>
                <w:color w:val="000000"/>
                <w:kern w:val="24"/>
                <w:lang w:val="en-GB" w:eastAsia="hr-BA"/>
              </w:rPr>
              <w:t xml:space="preserve"> I</w:t>
            </w:r>
          </w:p>
        </w:tc>
      </w:tr>
      <w:tr w:rsidR="004D5601" w:rsidRPr="008B313B" w14:paraId="0D4F4169"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40DCAF" w14:textId="77777777" w:rsidR="004D5601" w:rsidRPr="008B313B" w:rsidRDefault="004D5601" w:rsidP="00BA0B86">
            <w:pPr>
              <w:rPr>
                <w:rFonts w:eastAsia="Times New Roman" w:cs="Arial"/>
                <w:lang w:val="en-GB" w:eastAsia="hr-BA"/>
              </w:rPr>
            </w:pPr>
            <w:r w:rsidRPr="008B313B">
              <w:rPr>
                <w:rFonts w:eastAsia="Calibri"/>
                <w:b/>
                <w:bCs/>
                <w:color w:val="000000"/>
                <w:kern w:val="24"/>
                <w:lang w:val="en-GB" w:eastAsia="hr-BA"/>
              </w:rPr>
              <w:t>C</w:t>
            </w:r>
            <w:r w:rsidR="003D1CFE" w:rsidRPr="008B313B">
              <w:rPr>
                <w:rFonts w:eastAsia="Calibri"/>
                <w:b/>
                <w:bCs/>
                <w:color w:val="000000"/>
                <w:kern w:val="24"/>
                <w:lang w:val="en-GB" w:eastAsia="hr-BA"/>
              </w:rPr>
              <w:t>ycle</w:t>
            </w:r>
            <w:r w:rsidRPr="008B313B">
              <w:rPr>
                <w:rFonts w:eastAsia="Calibri"/>
                <w:b/>
                <w:bCs/>
                <w:color w:val="000000"/>
                <w:kern w:val="24"/>
                <w:lang w:val="en-GB" w:eastAsia="hr-BA"/>
              </w:rPr>
              <w:t xml:space="preserve">: </w:t>
            </w:r>
            <w:r w:rsidR="005C71CE" w:rsidRPr="008B313B">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5F088D" w14:textId="77777777" w:rsidR="004D5601" w:rsidRPr="008B313B" w:rsidRDefault="003D1CFE" w:rsidP="00C342BA">
            <w:pPr>
              <w:rPr>
                <w:rFonts w:eastAsia="Times New Roman" w:cs="Arial"/>
                <w:lang w:val="en-GB" w:eastAsia="hr-BA"/>
              </w:rPr>
            </w:pPr>
            <w:r w:rsidRPr="008B313B">
              <w:rPr>
                <w:rFonts w:eastAsia="Calibri"/>
                <w:b/>
                <w:bCs/>
                <w:color w:val="000000"/>
                <w:kern w:val="24"/>
                <w:lang w:val="en-GB" w:eastAsia="hr-BA"/>
              </w:rPr>
              <w:t>Study year</w:t>
            </w:r>
            <w:r w:rsidR="004D5601" w:rsidRPr="008B313B">
              <w:rPr>
                <w:rFonts w:eastAsia="Calibri"/>
                <w:b/>
                <w:bCs/>
                <w:color w:val="000000"/>
                <w:kern w:val="24"/>
                <w:lang w:val="en-GB" w:eastAsia="hr-BA"/>
              </w:rPr>
              <w:t xml:space="preserve">: </w:t>
            </w:r>
            <w:r w:rsidR="005C71CE" w:rsidRPr="008B313B">
              <w:rPr>
                <w:rFonts w:eastAsia="Calibri"/>
                <w:b/>
                <w:bCs/>
                <w:color w:val="000000"/>
                <w:kern w:val="24"/>
                <w:lang w:val="en-GB" w:eastAsia="hr-BA"/>
              </w:rPr>
              <w:t>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D80767" w14:textId="77777777" w:rsidR="004D5601" w:rsidRPr="008B313B" w:rsidRDefault="004D5601" w:rsidP="00BA0B86">
            <w:pPr>
              <w:rPr>
                <w:rFonts w:eastAsia="Times New Roman" w:cs="Arial"/>
                <w:lang w:val="en-GB" w:eastAsia="hr-BA"/>
              </w:rPr>
            </w:pPr>
            <w:r w:rsidRPr="008B313B">
              <w:rPr>
                <w:rFonts w:eastAsia="Calibri"/>
                <w:b/>
                <w:bCs/>
                <w:color w:val="000000"/>
                <w:kern w:val="24"/>
                <w:lang w:val="en-GB" w:eastAsia="hr-BA"/>
              </w:rPr>
              <w:t>Semest</w:t>
            </w:r>
            <w:r w:rsidR="003D1CFE" w:rsidRPr="008B313B">
              <w:rPr>
                <w:rFonts w:eastAsia="Calibri"/>
                <w:b/>
                <w:bCs/>
                <w:color w:val="000000"/>
                <w:kern w:val="24"/>
                <w:lang w:val="en-GB" w:eastAsia="hr-BA"/>
              </w:rPr>
              <w:t>e</w:t>
            </w:r>
            <w:r w:rsidRPr="008B313B">
              <w:rPr>
                <w:rFonts w:eastAsia="Calibri"/>
                <w:b/>
                <w:bCs/>
                <w:color w:val="000000"/>
                <w:kern w:val="24"/>
                <w:lang w:val="en-GB" w:eastAsia="hr-BA"/>
              </w:rPr>
              <w:t xml:space="preserve">r: </w:t>
            </w:r>
            <w:r w:rsidR="005C71CE" w:rsidRPr="008B313B">
              <w:rPr>
                <w:rFonts w:eastAsia="Calibri"/>
                <w:b/>
                <w:bCs/>
                <w:color w:val="000000"/>
                <w:kern w:val="24"/>
                <w:lang w:val="en-GB" w:eastAsia="hr-BA"/>
              </w:rPr>
              <w:t>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A0CFC3" w14:textId="77777777" w:rsidR="004D5601" w:rsidRPr="008B313B" w:rsidRDefault="004D5601" w:rsidP="00BA0B86">
            <w:pPr>
              <w:rPr>
                <w:rFonts w:eastAsia="Times New Roman" w:cs="Arial"/>
                <w:lang w:val="en-GB" w:eastAsia="hr-BA"/>
              </w:rPr>
            </w:pPr>
            <w:r w:rsidRPr="008B313B">
              <w:rPr>
                <w:rFonts w:eastAsia="Calibri"/>
                <w:b/>
                <w:bCs/>
                <w:color w:val="000000"/>
                <w:kern w:val="24"/>
                <w:lang w:val="en-GB" w:eastAsia="hr-BA"/>
              </w:rPr>
              <w:t>ECTS:</w:t>
            </w:r>
            <w:r w:rsidRPr="008B313B">
              <w:rPr>
                <w:rFonts w:eastAsia="Calibri"/>
                <w:color w:val="000000"/>
                <w:kern w:val="24"/>
                <w:lang w:val="en-GB" w:eastAsia="hr-BA"/>
              </w:rPr>
              <w:t xml:space="preserve"> </w:t>
            </w:r>
            <w:r w:rsidR="005C71CE" w:rsidRPr="008B313B">
              <w:rPr>
                <w:rFonts w:eastAsia="Calibri"/>
                <w:color w:val="000000"/>
                <w:kern w:val="24"/>
                <w:lang w:val="en-GB" w:eastAsia="hr-BA"/>
              </w:rPr>
              <w:t>2</w:t>
            </w:r>
          </w:p>
        </w:tc>
      </w:tr>
      <w:tr w:rsidR="004D5601" w:rsidRPr="008B313B" w14:paraId="526A596C"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8D1D41" w14:textId="77777777" w:rsidR="004D5601" w:rsidRPr="008B313B" w:rsidRDefault="004D5601" w:rsidP="00F00FD6">
            <w:pPr>
              <w:rPr>
                <w:rFonts w:eastAsia="Times New Roman" w:cs="Arial"/>
                <w:lang w:val="en-GB" w:eastAsia="hr-BA"/>
              </w:rPr>
            </w:pPr>
            <w:r w:rsidRPr="008B313B">
              <w:rPr>
                <w:noProof/>
                <w:lang w:val="en-GB" w:eastAsia="en-GB"/>
              </w:rPr>
              <w:drawing>
                <wp:anchor distT="0" distB="0" distL="114300" distR="114300" simplePos="0" relativeHeight="251657216" behindDoc="1" locked="0" layoutInCell="1" allowOverlap="1" wp14:anchorId="6D1F736A" wp14:editId="6A9B9241">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8B313B">
              <w:rPr>
                <w:rFonts w:eastAsia="Calibri"/>
                <w:b/>
                <w:bCs/>
                <w:color w:val="000000"/>
                <w:kern w:val="24"/>
                <w:lang w:val="en-GB" w:eastAsia="hr-BA"/>
              </w:rPr>
              <w:t>Study mode</w:t>
            </w:r>
            <w:r w:rsidRPr="008B313B">
              <w:rPr>
                <w:rFonts w:eastAsia="Calibri"/>
                <w:b/>
                <w:bCs/>
                <w:color w:val="000000"/>
                <w:kern w:val="24"/>
                <w:lang w:val="en-GB" w:eastAsia="hr-BA"/>
              </w:rPr>
              <w:t xml:space="preserve">: </w:t>
            </w:r>
            <w:r w:rsidR="00F00FD6" w:rsidRPr="008B313B">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A824BA" w14:textId="77777777" w:rsidR="004D5601" w:rsidRPr="008B313B" w:rsidRDefault="007061BA" w:rsidP="00C342BA">
            <w:pPr>
              <w:spacing w:after="0"/>
              <w:rPr>
                <w:rFonts w:eastAsia="Calibri"/>
                <w:b/>
                <w:bCs/>
                <w:color w:val="000000"/>
                <w:kern w:val="24"/>
                <w:lang w:val="en-GB" w:eastAsia="hr-BA"/>
              </w:rPr>
            </w:pPr>
            <w:r w:rsidRPr="008B313B">
              <w:rPr>
                <w:rFonts w:eastAsia="Calibri"/>
                <w:b/>
                <w:bCs/>
                <w:color w:val="000000"/>
                <w:kern w:val="24"/>
                <w:lang w:val="en-GB" w:eastAsia="hr-BA"/>
              </w:rPr>
              <w:t xml:space="preserve">Total </w:t>
            </w:r>
            <w:r w:rsidR="00FC09A9" w:rsidRPr="008B313B">
              <w:rPr>
                <w:rFonts w:eastAsia="Calibri"/>
                <w:b/>
                <w:bCs/>
                <w:color w:val="000000"/>
                <w:kern w:val="24"/>
                <w:lang w:val="en-GB" w:eastAsia="hr-BA"/>
              </w:rPr>
              <w:t>hrs.</w:t>
            </w:r>
            <w:r w:rsidRPr="008B313B">
              <w:rPr>
                <w:rFonts w:eastAsia="Calibri"/>
                <w:b/>
                <w:bCs/>
                <w:color w:val="000000"/>
                <w:kern w:val="24"/>
                <w:lang w:val="en-GB" w:eastAsia="hr-BA"/>
              </w:rPr>
              <w:t xml:space="preserve"> number</w:t>
            </w:r>
            <w:r w:rsidR="00C342BA" w:rsidRPr="008B313B">
              <w:rPr>
                <w:rFonts w:eastAsia="Calibri"/>
                <w:b/>
                <w:bCs/>
                <w:color w:val="000000"/>
                <w:kern w:val="24"/>
                <w:lang w:val="en-GB" w:eastAsia="hr-BA"/>
              </w:rPr>
              <w:t>:</w:t>
            </w:r>
            <w:r w:rsidR="00F00FD6" w:rsidRPr="008B313B">
              <w:rPr>
                <w:rFonts w:eastAsia="Calibri"/>
                <w:b/>
                <w:bCs/>
                <w:color w:val="000000"/>
                <w:kern w:val="24"/>
                <w:lang w:val="en-GB" w:eastAsia="hr-BA"/>
              </w:rPr>
              <w:t xml:space="preserve"> </w:t>
            </w:r>
            <w:r w:rsidR="005C71CE" w:rsidRPr="008B313B">
              <w:rPr>
                <w:rFonts w:eastAsia="Calibri"/>
                <w:b/>
                <w:bCs/>
                <w:color w:val="000000"/>
                <w:kern w:val="24"/>
                <w:lang w:val="en-GB" w:eastAsia="hr-BA"/>
              </w:rPr>
              <w:t>30</w:t>
            </w:r>
          </w:p>
          <w:p w14:paraId="6195AC70" w14:textId="77777777" w:rsidR="00DB707F" w:rsidRPr="008B313B" w:rsidRDefault="00DB707F" w:rsidP="00C342BA">
            <w:pPr>
              <w:spacing w:after="0"/>
              <w:rPr>
                <w:rFonts w:eastAsia="Calibri"/>
                <w:b/>
                <w:bCs/>
                <w:color w:val="000000"/>
                <w:kern w:val="24"/>
                <w:lang w:val="en-GB" w:eastAsia="hr-BA"/>
              </w:rPr>
            </w:pPr>
            <w:r w:rsidRPr="008B313B">
              <w:rPr>
                <w:rFonts w:eastAsia="Calibri"/>
                <w:bCs/>
                <w:color w:val="000000"/>
                <w:kern w:val="24"/>
                <w:lang w:val="en-GB" w:eastAsia="hr-BA"/>
              </w:rPr>
              <w:t>Lectures</w:t>
            </w:r>
            <w:r w:rsidR="00C342BA" w:rsidRPr="008B313B">
              <w:rPr>
                <w:rFonts w:eastAsia="Calibri"/>
                <w:bCs/>
                <w:color w:val="000000"/>
                <w:kern w:val="24"/>
                <w:lang w:val="en-GB" w:eastAsia="hr-BA"/>
              </w:rPr>
              <w:t>:</w:t>
            </w:r>
            <w:r w:rsidR="00C342BA" w:rsidRPr="008B313B">
              <w:rPr>
                <w:rFonts w:eastAsia="Calibri"/>
                <w:b/>
                <w:bCs/>
                <w:color w:val="000000"/>
                <w:kern w:val="24"/>
                <w:lang w:val="en-GB" w:eastAsia="hr-BA"/>
              </w:rPr>
              <w:t xml:space="preserve"> </w:t>
            </w:r>
            <w:r w:rsidR="005C71CE" w:rsidRPr="008B313B">
              <w:rPr>
                <w:rFonts w:eastAsia="Calibri"/>
                <w:b/>
                <w:bCs/>
                <w:color w:val="000000"/>
                <w:kern w:val="24"/>
                <w:lang w:val="en-GB" w:eastAsia="hr-BA"/>
              </w:rPr>
              <w:t>15</w:t>
            </w:r>
          </w:p>
          <w:p w14:paraId="46053FB8" w14:textId="77777777" w:rsidR="004D5601" w:rsidRPr="008B313B" w:rsidRDefault="00DB707F" w:rsidP="00BA0B86">
            <w:pPr>
              <w:spacing w:after="60"/>
              <w:rPr>
                <w:rFonts w:eastAsia="Calibri"/>
                <w:bCs/>
                <w:color w:val="000000"/>
                <w:kern w:val="24"/>
                <w:lang w:val="en-GB" w:eastAsia="hr-BA"/>
              </w:rPr>
            </w:pPr>
            <w:r w:rsidRPr="008B313B">
              <w:rPr>
                <w:rFonts w:eastAsia="Calibri"/>
                <w:bCs/>
                <w:color w:val="000000"/>
                <w:kern w:val="24"/>
                <w:lang w:val="en-GB" w:eastAsia="hr-BA"/>
              </w:rPr>
              <w:t>Laboratory</w:t>
            </w:r>
            <w:r w:rsidR="00F00FD6" w:rsidRPr="008B313B">
              <w:rPr>
                <w:rFonts w:eastAsia="Calibri"/>
                <w:bCs/>
                <w:color w:val="000000"/>
                <w:kern w:val="24"/>
                <w:lang w:val="en-GB" w:eastAsia="hr-BA"/>
              </w:rPr>
              <w:t>/practical</w:t>
            </w:r>
            <w:r w:rsidRPr="008B313B">
              <w:rPr>
                <w:rFonts w:eastAsia="Calibri"/>
                <w:bCs/>
                <w:color w:val="000000"/>
                <w:kern w:val="24"/>
                <w:lang w:val="en-GB" w:eastAsia="hr-BA"/>
              </w:rPr>
              <w:t xml:space="preserve"> exercises</w:t>
            </w:r>
            <w:r w:rsidR="00C342BA" w:rsidRPr="008B313B">
              <w:rPr>
                <w:rFonts w:eastAsia="Calibri"/>
                <w:bCs/>
                <w:color w:val="000000"/>
                <w:kern w:val="24"/>
                <w:lang w:val="en-GB" w:eastAsia="hr-BA"/>
              </w:rPr>
              <w:t xml:space="preserve">: </w:t>
            </w:r>
            <w:r w:rsidR="005C71CE" w:rsidRPr="008B313B">
              <w:rPr>
                <w:rFonts w:eastAsia="Calibri"/>
                <w:bCs/>
                <w:color w:val="000000"/>
                <w:kern w:val="24"/>
                <w:lang w:val="en-GB" w:eastAsia="hr-BA"/>
              </w:rPr>
              <w:t>15</w:t>
            </w:r>
          </w:p>
        </w:tc>
      </w:tr>
      <w:tr w:rsidR="004D5601" w:rsidRPr="008B313B" w14:paraId="0E7F3C6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F56D6F" w14:textId="77777777" w:rsidR="004D5601" w:rsidRPr="008B313B" w:rsidRDefault="00DB707F" w:rsidP="00F00FD6">
            <w:pPr>
              <w:spacing w:after="60"/>
              <w:rPr>
                <w:rFonts w:eastAsia="Times New Roman" w:cs="Arial"/>
                <w:b/>
                <w:lang w:val="en-GB" w:eastAsia="hr-BA"/>
              </w:rPr>
            </w:pPr>
            <w:r w:rsidRPr="008B313B">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674160F" w14:textId="77777777" w:rsidR="004D5601" w:rsidRPr="008B313B" w:rsidRDefault="004D5601" w:rsidP="00F00FD6">
            <w:pPr>
              <w:spacing w:after="60"/>
              <w:rPr>
                <w:rFonts w:eastAsia="Times New Roman" w:cs="Arial"/>
                <w:b/>
                <w:lang w:val="en-GB" w:eastAsia="hr-BA"/>
              </w:rPr>
            </w:pPr>
          </w:p>
        </w:tc>
      </w:tr>
      <w:tr w:rsidR="004D5601" w:rsidRPr="008B313B" w14:paraId="73679469"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3C238A" w14:textId="77777777" w:rsidR="004D5601" w:rsidRPr="008B313B" w:rsidRDefault="005C0182" w:rsidP="00F00FD6">
            <w:pPr>
              <w:spacing w:after="60"/>
              <w:rPr>
                <w:rFonts w:eastAsia="Times New Roman" w:cs="Arial"/>
                <w:b/>
                <w:lang w:val="en-GB" w:eastAsia="hr-BA"/>
              </w:rPr>
            </w:pPr>
            <w:r w:rsidRPr="008B313B">
              <w:rPr>
                <w:rFonts w:eastAsia="Times New Roman" w:cs="Arial"/>
                <w:b/>
                <w:lang w:val="en-GB" w:eastAsia="hr-BA"/>
              </w:rPr>
              <w:t>Enrolment preconditions</w:t>
            </w:r>
            <w:r w:rsidR="004D5601" w:rsidRPr="008B313B">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2C37DB" w14:textId="77777777" w:rsidR="004D5601" w:rsidRPr="008B313B" w:rsidRDefault="00C342BA" w:rsidP="00F00FD6">
            <w:pPr>
              <w:spacing w:after="60"/>
              <w:rPr>
                <w:rFonts w:eastAsia="Times New Roman" w:cs="Arial"/>
                <w:lang w:val="en-GB" w:eastAsia="hr-BA"/>
              </w:rPr>
            </w:pPr>
            <w:r w:rsidRPr="008B313B">
              <w:rPr>
                <w:rFonts w:eastAsia="Times New Roman" w:cs="Arial"/>
                <w:lang w:val="en-GB" w:eastAsia="hr-BA"/>
              </w:rPr>
              <w:t>-</w:t>
            </w:r>
          </w:p>
        </w:tc>
      </w:tr>
      <w:tr w:rsidR="005C71CE" w:rsidRPr="008B313B" w14:paraId="67BFBAA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B587C3" w14:textId="77777777" w:rsidR="005C71CE" w:rsidRPr="008B313B" w:rsidRDefault="005C71CE" w:rsidP="005C71CE">
            <w:pPr>
              <w:rPr>
                <w:rFonts w:eastAsia="Calibri"/>
                <w:b/>
                <w:bCs/>
                <w:color w:val="000000"/>
                <w:kern w:val="24"/>
                <w:lang w:val="en-GB" w:eastAsia="hr-BA"/>
              </w:rPr>
            </w:pPr>
            <w:r w:rsidRPr="008B313B">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A263B5A" w14:textId="7BA760C2" w:rsidR="005C71CE" w:rsidRPr="008B313B" w:rsidRDefault="00EB6DAC" w:rsidP="005C71CE">
            <w:pPr>
              <w:rPr>
                <w:rFonts w:eastAsia="Times New Roman" w:cstheme="minorHAnsi"/>
                <w:lang w:val="en-GB" w:eastAsia="hr-BA"/>
              </w:rPr>
            </w:pPr>
            <w:r>
              <w:rPr>
                <w:rFonts w:eastAsia="Times New Roman" w:cstheme="minorHAnsi"/>
                <w:lang w:val="en-GB" w:eastAsia="hr-BA"/>
              </w:rPr>
              <w:t xml:space="preserve">Competency of narrative, contextual and discourse analysis of different </w:t>
            </w:r>
            <w:r w:rsidR="005C71CE" w:rsidRPr="008B313B">
              <w:rPr>
                <w:rFonts w:eastAsia="Times New Roman" w:cstheme="minorHAnsi"/>
                <w:lang w:val="en-GB" w:eastAsia="hr-BA"/>
              </w:rPr>
              <w:t xml:space="preserve">post-broadcast </w:t>
            </w:r>
            <w:r w:rsidR="00F001DF">
              <w:rPr>
                <w:rFonts w:eastAsia="Times New Roman" w:cstheme="minorHAnsi"/>
                <w:lang w:val="en-GB" w:eastAsia="hr-BA"/>
              </w:rPr>
              <w:t>formats</w:t>
            </w:r>
            <w:r w:rsidR="005C71CE" w:rsidRPr="008B313B">
              <w:rPr>
                <w:rFonts w:eastAsia="Times New Roman" w:cstheme="minorHAnsi"/>
                <w:lang w:val="en-GB" w:eastAsia="hr-BA"/>
              </w:rPr>
              <w:t xml:space="preserve"> </w:t>
            </w:r>
            <w:r w:rsidR="005D7173">
              <w:rPr>
                <w:rFonts w:eastAsia="Times New Roman" w:cstheme="minorHAnsi"/>
                <w:lang w:val="en-GB" w:eastAsia="hr-BA"/>
              </w:rPr>
              <w:t>and application of results to own ideas</w:t>
            </w:r>
            <w:r w:rsidR="005C71CE" w:rsidRPr="008B313B">
              <w:rPr>
                <w:rFonts w:eastAsia="Times New Roman" w:cstheme="minorHAnsi"/>
                <w:lang w:val="en-GB" w:eastAsia="hr-BA"/>
              </w:rPr>
              <w:t>.</w:t>
            </w:r>
          </w:p>
        </w:tc>
      </w:tr>
      <w:tr w:rsidR="005C71CE" w:rsidRPr="008B313B" w14:paraId="21BF361F"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691D32" w14:textId="77777777" w:rsidR="005C71CE" w:rsidRPr="008B313B" w:rsidRDefault="005C71CE" w:rsidP="005C71CE">
            <w:pPr>
              <w:rPr>
                <w:rFonts w:eastAsia="Calibri"/>
                <w:b/>
                <w:bCs/>
                <w:color w:val="000000"/>
                <w:kern w:val="24"/>
                <w:lang w:val="en-GB" w:eastAsia="hr-BA"/>
              </w:rPr>
            </w:pPr>
            <w:r w:rsidRPr="008B313B">
              <w:rPr>
                <w:rFonts w:eastAsia="Calibri"/>
                <w:b/>
                <w:bCs/>
                <w:color w:val="000000"/>
                <w:kern w:val="24"/>
                <w:lang w:val="en-GB" w:eastAsia="hr-BA"/>
              </w:rPr>
              <w:t>Thematic units:</w:t>
            </w:r>
          </w:p>
          <w:p w14:paraId="7891D04A" w14:textId="77777777" w:rsidR="005C71CE" w:rsidRPr="008B313B" w:rsidRDefault="005C71CE" w:rsidP="005C71CE">
            <w:pPr>
              <w:rPr>
                <w:rFonts w:eastAsia="Calibri"/>
                <w:bCs/>
                <w:i/>
                <w:color w:val="000000"/>
                <w:kern w:val="24"/>
                <w:lang w:val="en-GB" w:eastAsia="hr-BA"/>
              </w:rPr>
            </w:pPr>
            <w:r w:rsidRPr="008B313B">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F0B1E1" w14:textId="268CA95D" w:rsidR="005C71CE" w:rsidRPr="008B313B" w:rsidRDefault="00F001DF" w:rsidP="005C71CE">
            <w:pPr>
              <w:jc w:val="both"/>
              <w:rPr>
                <w:rFonts w:eastAsia="Times New Roman" w:cstheme="minorHAnsi"/>
                <w:lang w:val="en-GB" w:eastAsia="hr-BA"/>
              </w:rPr>
            </w:pPr>
            <w:r>
              <w:rPr>
                <w:rFonts w:eastAsia="Times New Roman" w:cstheme="minorHAnsi"/>
                <w:lang w:val="en-GB" w:eastAsia="hr-BA"/>
              </w:rPr>
              <w:t>Through analyses of contemporary production, basic concepts</w:t>
            </w:r>
            <w:r w:rsidR="00BB6297">
              <w:rPr>
                <w:rFonts w:eastAsia="Times New Roman" w:cstheme="minorHAnsi"/>
                <w:lang w:val="en-GB" w:eastAsia="hr-BA"/>
              </w:rPr>
              <w:t xml:space="preserve">, </w:t>
            </w:r>
            <w:r>
              <w:rPr>
                <w:rFonts w:eastAsia="Times New Roman" w:cstheme="minorHAnsi"/>
                <w:lang w:val="en-GB" w:eastAsia="hr-BA"/>
              </w:rPr>
              <w:t>reception and consumption are being redefined. Genres and formats are</w:t>
            </w:r>
            <w:r w:rsidR="00EB5352">
              <w:rPr>
                <w:rFonts w:eastAsia="Times New Roman" w:cstheme="minorHAnsi"/>
                <w:lang w:val="en-GB" w:eastAsia="hr-BA"/>
              </w:rPr>
              <w:t xml:space="preserve"> addressed on a several necessary levels to understand the complexity of today’s media product such as a drama or documentary series or a </w:t>
            </w:r>
            <w:r w:rsidR="005C71CE" w:rsidRPr="008B313B">
              <w:rPr>
                <w:rFonts w:eastAsia="Times New Roman" w:cstheme="minorHAnsi"/>
                <w:lang w:val="en-GB" w:eastAsia="hr-BA"/>
              </w:rPr>
              <w:t>show program</w:t>
            </w:r>
            <w:r w:rsidR="00EB5352">
              <w:rPr>
                <w:rFonts w:eastAsia="Times New Roman" w:cstheme="minorHAnsi"/>
                <w:lang w:val="en-GB" w:eastAsia="hr-BA"/>
              </w:rPr>
              <w:t>me</w:t>
            </w:r>
            <w:r w:rsidR="005C71CE" w:rsidRPr="008B313B">
              <w:rPr>
                <w:rFonts w:eastAsia="Times New Roman" w:cstheme="minorHAnsi"/>
                <w:lang w:val="en-GB" w:eastAsia="hr-BA"/>
              </w:rPr>
              <w:t>.</w:t>
            </w:r>
          </w:p>
          <w:p w14:paraId="51FE8630" w14:textId="360CB79B" w:rsidR="00EB5352" w:rsidRPr="00BB6297" w:rsidRDefault="00EB5352" w:rsidP="005C71CE">
            <w:pPr>
              <w:jc w:val="both"/>
              <w:rPr>
                <w:rFonts w:eastAsia="Times New Roman" w:cstheme="minorHAnsi"/>
                <w:lang w:val="en-GB" w:eastAsia="hr-BA"/>
              </w:rPr>
            </w:pPr>
            <w:r>
              <w:rPr>
                <w:rFonts w:eastAsia="Times New Roman" w:cstheme="minorHAnsi"/>
                <w:lang w:val="en-GB" w:eastAsia="hr-BA"/>
              </w:rPr>
              <w:t>By analysing the second golden age of TV drama, students get introduced to newer practices of producing series programmes. Through the analysis of new production models, changes in genre models are identified, as well as contemporary distribution strategies</w:t>
            </w:r>
            <w:r w:rsidRPr="008B313B">
              <w:rPr>
                <w:rFonts w:eastAsia="Times New Roman" w:cstheme="minorHAnsi"/>
                <w:lang w:val="en-GB" w:eastAsia="hr-BA"/>
              </w:rPr>
              <w:t xml:space="preserve">. </w:t>
            </w:r>
            <w:r>
              <w:rPr>
                <w:rFonts w:eastAsia="Times New Roman" w:cstheme="minorHAnsi"/>
                <w:lang w:val="en-GB" w:eastAsia="hr-BA"/>
              </w:rPr>
              <w:t>Economic norms and ways of financing</w:t>
            </w:r>
            <w:r w:rsidRPr="008B313B">
              <w:rPr>
                <w:rFonts w:eastAsia="Times New Roman" w:cstheme="minorHAnsi"/>
                <w:lang w:val="en-GB" w:eastAsia="hr-BA"/>
              </w:rPr>
              <w:t xml:space="preserve">, </w:t>
            </w:r>
            <w:r>
              <w:rPr>
                <w:rFonts w:eastAsia="Times New Roman" w:cstheme="minorHAnsi"/>
                <w:lang w:val="en-GB" w:eastAsia="hr-BA"/>
              </w:rPr>
              <w:t xml:space="preserve">the role of the audience in creation of </w:t>
            </w:r>
            <w:r w:rsidRPr="00BB6297">
              <w:rPr>
                <w:rFonts w:eastAsia="Times New Roman" w:cstheme="minorHAnsi"/>
                <w:lang w:val="en-GB" w:eastAsia="hr-BA"/>
              </w:rPr>
              <w:t>new contents, and development perspectives are themes covered by analysing contemporary genre models and formats</w:t>
            </w:r>
          </w:p>
          <w:p w14:paraId="492B6B46" w14:textId="1EE7B486" w:rsidR="005C71CE" w:rsidRPr="008B313B" w:rsidRDefault="00EB6DAC" w:rsidP="005C71CE">
            <w:pPr>
              <w:jc w:val="both"/>
              <w:rPr>
                <w:rFonts w:eastAsia="Times New Roman" w:cstheme="minorHAnsi"/>
                <w:lang w:val="en-GB" w:eastAsia="hr-BA"/>
              </w:rPr>
            </w:pPr>
            <w:r w:rsidRPr="00BB6297">
              <w:rPr>
                <w:rFonts w:eastAsia="Times New Roman" w:cstheme="minorHAnsi"/>
                <w:lang w:val="en-GB" w:eastAsia="hr-BA"/>
              </w:rPr>
              <w:t xml:space="preserve">During the course of the semester, the students select and prepare a seminar paper </w:t>
            </w:r>
            <w:r w:rsidR="005C71CE" w:rsidRPr="00BB6297">
              <w:rPr>
                <w:rFonts w:eastAsia="Times New Roman" w:cstheme="minorHAnsi"/>
                <w:lang w:val="en-GB" w:eastAsia="hr-BA"/>
              </w:rPr>
              <w:t xml:space="preserve">- </w:t>
            </w:r>
            <w:r w:rsidRPr="00BB6297">
              <w:rPr>
                <w:rFonts w:eastAsia="Times New Roman" w:cstheme="minorHAnsi"/>
                <w:lang w:val="en-GB" w:eastAsia="hr-BA"/>
              </w:rPr>
              <w:t>production analysis</w:t>
            </w:r>
            <w:r w:rsidR="005C71CE" w:rsidRPr="00BB6297">
              <w:rPr>
                <w:rFonts w:eastAsia="Times New Roman" w:cstheme="minorHAnsi"/>
                <w:lang w:val="en-GB" w:eastAsia="hr-BA"/>
              </w:rPr>
              <w:t xml:space="preserve"> </w:t>
            </w:r>
            <w:r w:rsidR="005D7173" w:rsidRPr="00BB6297">
              <w:rPr>
                <w:rFonts w:eastAsia="Times New Roman" w:cstheme="minorHAnsi"/>
                <w:lang w:val="en-GB" w:eastAsia="hr-BA"/>
              </w:rPr>
              <w:t xml:space="preserve">of </w:t>
            </w:r>
            <w:r w:rsidR="00BB6297">
              <w:rPr>
                <w:rFonts w:eastAsia="Times New Roman" w:cstheme="minorHAnsi"/>
                <w:lang w:val="en-GB" w:eastAsia="hr-BA"/>
              </w:rPr>
              <w:t xml:space="preserve">a </w:t>
            </w:r>
            <w:r w:rsidR="005D7173" w:rsidRPr="00BB6297">
              <w:rPr>
                <w:rFonts w:eastAsia="Times New Roman" w:cstheme="minorHAnsi"/>
                <w:lang w:val="en-GB" w:eastAsia="hr-BA"/>
              </w:rPr>
              <w:t>drama series of their choice</w:t>
            </w:r>
            <w:r w:rsidR="005C71CE" w:rsidRPr="00BB6297">
              <w:rPr>
                <w:rFonts w:eastAsia="Times New Roman" w:cstheme="minorHAnsi"/>
                <w:lang w:val="en-GB" w:eastAsia="hr-BA"/>
              </w:rPr>
              <w:t xml:space="preserve">, </w:t>
            </w:r>
            <w:r w:rsidR="00B5327C" w:rsidRPr="00BB6297">
              <w:rPr>
                <w:rFonts w:eastAsia="Times New Roman" w:cstheme="minorHAnsi"/>
                <w:lang w:val="en-GB" w:eastAsia="hr-BA"/>
              </w:rPr>
              <w:t>and the analysis refers to the ability to understand and analyse a “media text</w:t>
            </w:r>
            <w:r w:rsidR="00B5327C">
              <w:rPr>
                <w:rFonts w:eastAsia="Times New Roman" w:cstheme="minorHAnsi"/>
                <w:lang w:val="en-GB" w:eastAsia="hr-BA"/>
              </w:rPr>
              <w:t>”.</w:t>
            </w:r>
          </w:p>
        </w:tc>
      </w:tr>
      <w:tr w:rsidR="005C71CE" w:rsidRPr="008B313B" w14:paraId="5195928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8C06FF" w14:textId="77777777" w:rsidR="005C71CE" w:rsidRPr="008B313B" w:rsidRDefault="005C71CE" w:rsidP="005C71CE">
            <w:pPr>
              <w:tabs>
                <w:tab w:val="left" w:pos="1152"/>
              </w:tabs>
              <w:rPr>
                <w:rFonts w:eastAsia="Times New Roman" w:cs="Arial"/>
                <w:lang w:val="en-GB" w:eastAsia="hr-BA"/>
              </w:rPr>
            </w:pPr>
            <w:r w:rsidRPr="008B313B">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F54644" w14:textId="6B55607E" w:rsidR="005C71CE" w:rsidRPr="008B313B" w:rsidRDefault="008B313B" w:rsidP="005C71CE">
            <w:pPr>
              <w:jc w:val="both"/>
              <w:rPr>
                <w:rFonts w:eastAsia="Times New Roman" w:cstheme="minorHAnsi"/>
                <w:lang w:val="en-GB" w:eastAsia="hr-BA"/>
              </w:rPr>
            </w:pPr>
            <w:r w:rsidRPr="008B313B">
              <w:rPr>
                <w:rFonts w:cstheme="minorHAnsi"/>
                <w:lang w:val="en-GB"/>
              </w:rPr>
              <w:t>Students get introduced to the analysis of different post-broadcast formats</w:t>
            </w:r>
            <w:r w:rsidR="005C71CE" w:rsidRPr="008B313B">
              <w:rPr>
                <w:rFonts w:eastAsia="Times New Roman" w:cstheme="minorHAnsi"/>
                <w:lang w:val="en-GB" w:eastAsia="hr-BA"/>
              </w:rPr>
              <w:t>.</w:t>
            </w:r>
          </w:p>
        </w:tc>
      </w:tr>
      <w:tr w:rsidR="005C71CE" w:rsidRPr="008B313B" w14:paraId="67D3B89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23B170" w14:textId="77777777" w:rsidR="005C71CE" w:rsidRPr="008B313B" w:rsidRDefault="005C71CE" w:rsidP="005C71CE">
            <w:pPr>
              <w:rPr>
                <w:rFonts w:eastAsia="Times New Roman" w:cs="Arial"/>
                <w:lang w:val="en-GB" w:eastAsia="hr-BA"/>
              </w:rPr>
            </w:pPr>
            <w:r w:rsidRPr="008B313B">
              <w:rPr>
                <w:rFonts w:eastAsia="Calibri"/>
                <w:b/>
                <w:bCs/>
                <w:color w:val="000000"/>
                <w:kern w:val="24"/>
                <w:lang w:val="en-GB" w:eastAsia="hr-BA"/>
              </w:rPr>
              <w:t>Teaching methods:</w:t>
            </w:r>
            <w:r w:rsidRPr="008B313B">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5B18CF" w14:textId="4E973E6D" w:rsidR="005C71CE" w:rsidRPr="008B313B" w:rsidRDefault="008B313B" w:rsidP="005C71CE">
            <w:pPr>
              <w:jc w:val="both"/>
              <w:rPr>
                <w:rFonts w:eastAsia="Times New Roman" w:cstheme="minorHAnsi"/>
                <w:lang w:val="en-GB" w:eastAsia="hr-BA"/>
              </w:rPr>
            </w:pPr>
            <w:r w:rsidRPr="008B313B">
              <w:rPr>
                <w:rFonts w:eastAsia="Times New Roman" w:cstheme="minorHAnsi"/>
                <w:lang w:val="en-GB" w:eastAsia="hr-BA"/>
              </w:rPr>
              <w:t>Lectures, exercises, workshops, case studies, master classes, individual exercises, tests, practical group work, consultations</w:t>
            </w:r>
            <w:r w:rsidR="005C71CE" w:rsidRPr="008B313B">
              <w:rPr>
                <w:rFonts w:eastAsia="Times New Roman" w:cstheme="minorHAnsi"/>
                <w:lang w:val="en-GB" w:eastAsia="hr-BA"/>
              </w:rPr>
              <w:t>.</w:t>
            </w:r>
          </w:p>
        </w:tc>
      </w:tr>
      <w:tr w:rsidR="005C71CE" w:rsidRPr="008B313B" w14:paraId="1860BE4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5DF25E" w14:textId="77777777" w:rsidR="005C71CE" w:rsidRPr="008B313B" w:rsidRDefault="005C71CE" w:rsidP="005C71CE">
            <w:pPr>
              <w:rPr>
                <w:rFonts w:eastAsia="Calibri"/>
                <w:color w:val="000000"/>
                <w:kern w:val="24"/>
                <w:lang w:val="en-GB" w:eastAsia="hr-BA"/>
              </w:rPr>
            </w:pPr>
            <w:r w:rsidRPr="008B313B">
              <w:rPr>
                <w:rFonts w:eastAsia="Calibri"/>
                <w:b/>
                <w:bCs/>
                <w:color w:val="000000"/>
                <w:kern w:val="24"/>
                <w:lang w:val="en-GB" w:eastAsia="hr-BA"/>
              </w:rPr>
              <w:lastRenderedPageBreak/>
              <w:t>Knowledge assessment methods with grading system</w:t>
            </w:r>
            <w:r w:rsidRPr="008B313B">
              <w:rPr>
                <w:rStyle w:val="FootnoteReference"/>
                <w:rFonts w:eastAsia="Calibri"/>
                <w:b/>
                <w:bCs/>
                <w:color w:val="000000"/>
                <w:kern w:val="24"/>
                <w:lang w:val="en-GB" w:eastAsia="hr-BA"/>
              </w:rPr>
              <w:footnoteReference w:id="1"/>
            </w:r>
            <w:r w:rsidRPr="008B313B">
              <w:rPr>
                <w:rFonts w:eastAsia="Calibri"/>
                <w:b/>
                <w:bCs/>
                <w:color w:val="000000"/>
                <w:kern w:val="24"/>
                <w:lang w:val="en-GB" w:eastAsia="hr-BA"/>
              </w:rPr>
              <w:t>:</w:t>
            </w:r>
            <w:r w:rsidRPr="008B313B">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90892B" w14:textId="7A30D1E2" w:rsidR="005C71CE" w:rsidRPr="008B313B" w:rsidRDefault="00776681" w:rsidP="00776681">
            <w:pPr>
              <w:ind w:left="86"/>
              <w:jc w:val="both"/>
              <w:rPr>
                <w:rFonts w:eastAsia="Times New Roman" w:cstheme="minorHAnsi"/>
                <w:lang w:val="en-GB" w:eastAsia="hr-BA"/>
              </w:rPr>
            </w:pPr>
            <w:r w:rsidRPr="008B313B">
              <w:rPr>
                <w:rFonts w:eastAsia="Times New Roman" w:cs="Arial"/>
                <w:lang w:val="en-GB" w:eastAsia="hr-BA"/>
              </w:rPr>
              <w:t>Students’ activity is monitored by assigning points for every form of activity and by knowledge assessment during the semester, and on the final written exam</w:t>
            </w:r>
            <w:r w:rsidR="005C71CE" w:rsidRPr="008B313B">
              <w:rPr>
                <w:rFonts w:eastAsia="Times New Roman" w:cstheme="minorHAnsi"/>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776681" w:rsidRPr="008B313B" w14:paraId="45D82D6D" w14:textId="77777777" w:rsidTr="009A45B8">
              <w:trPr>
                <w:trHeight w:val="711"/>
                <w:jc w:val="center"/>
              </w:trPr>
              <w:tc>
                <w:tcPr>
                  <w:tcW w:w="738" w:type="dxa"/>
                  <w:shd w:val="clear" w:color="auto" w:fill="DBE5F1"/>
                  <w:vAlign w:val="center"/>
                </w:tcPr>
                <w:p w14:paraId="0EB72D92" w14:textId="1FE5AE22" w:rsidR="00776681" w:rsidRPr="008B313B" w:rsidRDefault="00776681" w:rsidP="00776681">
                  <w:pPr>
                    <w:jc w:val="center"/>
                    <w:rPr>
                      <w:rFonts w:cstheme="minorHAnsi"/>
                      <w:b/>
                      <w:lang w:val="en-GB"/>
                    </w:rPr>
                  </w:pPr>
                  <w:r w:rsidRPr="008B313B">
                    <w:rPr>
                      <w:b/>
                      <w:lang w:val="en-GB"/>
                    </w:rPr>
                    <w:t>Ord. no.</w:t>
                  </w:r>
                </w:p>
              </w:tc>
              <w:tc>
                <w:tcPr>
                  <w:tcW w:w="3864" w:type="dxa"/>
                  <w:shd w:val="clear" w:color="auto" w:fill="DBE5F1"/>
                  <w:vAlign w:val="center"/>
                </w:tcPr>
                <w:p w14:paraId="245C0485" w14:textId="053780AE" w:rsidR="00776681" w:rsidRPr="008B313B" w:rsidRDefault="00776681" w:rsidP="00776681">
                  <w:pPr>
                    <w:rPr>
                      <w:rFonts w:cstheme="minorHAnsi"/>
                      <w:b/>
                      <w:lang w:val="en-GB"/>
                    </w:rPr>
                  </w:pPr>
                  <w:r w:rsidRPr="008B313B">
                    <w:rPr>
                      <w:b/>
                      <w:lang w:val="en-GB"/>
                    </w:rPr>
                    <w:t xml:space="preserve">Monitoring elements </w:t>
                  </w:r>
                </w:p>
              </w:tc>
              <w:tc>
                <w:tcPr>
                  <w:tcW w:w="1417" w:type="dxa"/>
                  <w:shd w:val="clear" w:color="auto" w:fill="DBE5F1"/>
                  <w:vAlign w:val="center"/>
                </w:tcPr>
                <w:p w14:paraId="79262AEB" w14:textId="4CD6F28C" w:rsidR="00776681" w:rsidRPr="008B313B" w:rsidRDefault="00776681" w:rsidP="00776681">
                  <w:pPr>
                    <w:jc w:val="center"/>
                    <w:rPr>
                      <w:rFonts w:cstheme="minorHAnsi"/>
                      <w:b/>
                      <w:lang w:val="en-GB"/>
                    </w:rPr>
                  </w:pPr>
                  <w:r w:rsidRPr="008B313B">
                    <w:rPr>
                      <w:b/>
                      <w:lang w:val="en-GB"/>
                    </w:rPr>
                    <w:t>Number of points</w:t>
                  </w:r>
                </w:p>
              </w:tc>
              <w:tc>
                <w:tcPr>
                  <w:tcW w:w="1312" w:type="dxa"/>
                  <w:shd w:val="clear" w:color="auto" w:fill="DBE5F1"/>
                  <w:vAlign w:val="center"/>
                </w:tcPr>
                <w:p w14:paraId="484979F3" w14:textId="1023C185" w:rsidR="00776681" w:rsidRPr="008B313B" w:rsidRDefault="00776681" w:rsidP="00776681">
                  <w:pPr>
                    <w:jc w:val="center"/>
                    <w:rPr>
                      <w:rFonts w:cstheme="minorHAnsi"/>
                      <w:b/>
                      <w:lang w:val="en-GB"/>
                    </w:rPr>
                  </w:pPr>
                  <w:r w:rsidRPr="008B313B">
                    <w:rPr>
                      <w:b/>
                      <w:lang w:val="en-GB"/>
                    </w:rPr>
                    <w:t>Share in grade (%)</w:t>
                  </w:r>
                </w:p>
              </w:tc>
            </w:tr>
            <w:tr w:rsidR="00776681" w:rsidRPr="008B313B" w14:paraId="228E1860" w14:textId="77777777" w:rsidTr="009A45B8">
              <w:trPr>
                <w:jc w:val="center"/>
              </w:trPr>
              <w:tc>
                <w:tcPr>
                  <w:tcW w:w="738" w:type="dxa"/>
                  <w:shd w:val="clear" w:color="auto" w:fill="auto"/>
                  <w:vAlign w:val="center"/>
                </w:tcPr>
                <w:p w14:paraId="115399C0" w14:textId="77777777" w:rsidR="00776681" w:rsidRPr="008B313B" w:rsidRDefault="00776681" w:rsidP="00776681">
                  <w:pPr>
                    <w:jc w:val="right"/>
                    <w:rPr>
                      <w:rFonts w:cstheme="minorHAnsi"/>
                      <w:lang w:val="en-GB"/>
                    </w:rPr>
                  </w:pPr>
                  <w:r w:rsidRPr="008B313B">
                    <w:rPr>
                      <w:rFonts w:cstheme="minorHAnsi"/>
                      <w:lang w:val="en-GB"/>
                    </w:rPr>
                    <w:t>1.</w:t>
                  </w:r>
                </w:p>
              </w:tc>
              <w:tc>
                <w:tcPr>
                  <w:tcW w:w="3864" w:type="dxa"/>
                  <w:shd w:val="clear" w:color="auto" w:fill="auto"/>
                </w:tcPr>
                <w:p w14:paraId="4F3E047C" w14:textId="6B38C95E" w:rsidR="00776681" w:rsidRPr="008B313B" w:rsidRDefault="00776681" w:rsidP="00776681">
                  <w:pPr>
                    <w:rPr>
                      <w:rFonts w:cstheme="minorHAnsi"/>
                      <w:lang w:val="en-GB"/>
                    </w:rPr>
                  </w:pPr>
                  <w:r w:rsidRPr="008B313B">
                    <w:rPr>
                      <w:lang w:val="en-GB"/>
                    </w:rPr>
                    <w:t xml:space="preserve">Attendance </w:t>
                  </w:r>
                </w:p>
              </w:tc>
              <w:tc>
                <w:tcPr>
                  <w:tcW w:w="1417" w:type="dxa"/>
                  <w:shd w:val="clear" w:color="auto" w:fill="auto"/>
                  <w:vAlign w:val="center"/>
                </w:tcPr>
                <w:p w14:paraId="193EE98F" w14:textId="77777777" w:rsidR="00776681" w:rsidRPr="008B313B" w:rsidRDefault="00776681" w:rsidP="00776681">
                  <w:pPr>
                    <w:jc w:val="center"/>
                    <w:rPr>
                      <w:rFonts w:cstheme="minorHAnsi"/>
                      <w:lang w:val="en-GB"/>
                    </w:rPr>
                  </w:pPr>
                  <w:r w:rsidRPr="008B313B">
                    <w:rPr>
                      <w:rFonts w:cstheme="minorHAnsi"/>
                      <w:lang w:val="en-GB"/>
                    </w:rPr>
                    <w:t>10</w:t>
                  </w:r>
                </w:p>
              </w:tc>
              <w:tc>
                <w:tcPr>
                  <w:tcW w:w="1312" w:type="dxa"/>
                  <w:vAlign w:val="center"/>
                </w:tcPr>
                <w:p w14:paraId="1D92C4A1" w14:textId="77777777" w:rsidR="00776681" w:rsidRPr="008B313B" w:rsidRDefault="00776681" w:rsidP="00776681">
                  <w:pPr>
                    <w:jc w:val="center"/>
                    <w:rPr>
                      <w:rFonts w:cstheme="minorHAnsi"/>
                      <w:lang w:val="en-GB"/>
                    </w:rPr>
                  </w:pPr>
                  <w:r w:rsidRPr="008B313B">
                    <w:rPr>
                      <w:rFonts w:cstheme="minorHAnsi"/>
                      <w:lang w:val="en-GB"/>
                    </w:rPr>
                    <w:t>10</w:t>
                  </w:r>
                </w:p>
              </w:tc>
            </w:tr>
            <w:tr w:rsidR="00776681" w:rsidRPr="008B313B" w14:paraId="3912D521" w14:textId="77777777" w:rsidTr="009A45B8">
              <w:trPr>
                <w:jc w:val="center"/>
              </w:trPr>
              <w:tc>
                <w:tcPr>
                  <w:tcW w:w="738" w:type="dxa"/>
                  <w:shd w:val="clear" w:color="auto" w:fill="auto"/>
                  <w:vAlign w:val="center"/>
                </w:tcPr>
                <w:p w14:paraId="4049E415" w14:textId="77777777" w:rsidR="00776681" w:rsidRPr="008B313B" w:rsidRDefault="00776681" w:rsidP="00776681">
                  <w:pPr>
                    <w:jc w:val="right"/>
                    <w:rPr>
                      <w:rFonts w:cstheme="minorHAnsi"/>
                      <w:lang w:val="en-GB"/>
                    </w:rPr>
                  </w:pPr>
                  <w:r w:rsidRPr="008B313B">
                    <w:rPr>
                      <w:rFonts w:cstheme="minorHAnsi"/>
                      <w:lang w:val="en-GB"/>
                    </w:rPr>
                    <w:t>2.</w:t>
                  </w:r>
                </w:p>
              </w:tc>
              <w:tc>
                <w:tcPr>
                  <w:tcW w:w="3864" w:type="dxa"/>
                  <w:shd w:val="clear" w:color="auto" w:fill="auto"/>
                  <w:vAlign w:val="center"/>
                </w:tcPr>
                <w:p w14:paraId="6DBFBEDC" w14:textId="0C8944E7" w:rsidR="00776681" w:rsidRPr="008B313B" w:rsidRDefault="00776681" w:rsidP="00776681">
                  <w:pPr>
                    <w:jc w:val="both"/>
                    <w:rPr>
                      <w:rFonts w:cstheme="minorHAnsi"/>
                      <w:lang w:val="en-GB"/>
                    </w:rPr>
                  </w:pPr>
                  <w:r w:rsidRPr="008B313B">
                    <w:rPr>
                      <w:lang w:val="en-GB"/>
                    </w:rPr>
                    <w:t>Student engagement</w:t>
                  </w:r>
                </w:p>
              </w:tc>
              <w:tc>
                <w:tcPr>
                  <w:tcW w:w="1417" w:type="dxa"/>
                  <w:shd w:val="clear" w:color="auto" w:fill="auto"/>
                  <w:vAlign w:val="center"/>
                </w:tcPr>
                <w:p w14:paraId="7009F7D4" w14:textId="77777777" w:rsidR="00776681" w:rsidRPr="008B313B" w:rsidRDefault="00776681" w:rsidP="00776681">
                  <w:pPr>
                    <w:jc w:val="center"/>
                    <w:rPr>
                      <w:rFonts w:cstheme="minorHAnsi"/>
                      <w:lang w:val="en-GB"/>
                    </w:rPr>
                  </w:pPr>
                  <w:r w:rsidRPr="008B313B">
                    <w:rPr>
                      <w:rFonts w:cstheme="minorHAnsi"/>
                      <w:lang w:val="en-GB"/>
                    </w:rPr>
                    <w:t>10</w:t>
                  </w:r>
                </w:p>
              </w:tc>
              <w:tc>
                <w:tcPr>
                  <w:tcW w:w="1312" w:type="dxa"/>
                  <w:vAlign w:val="center"/>
                </w:tcPr>
                <w:p w14:paraId="49756E3C" w14:textId="77777777" w:rsidR="00776681" w:rsidRPr="008B313B" w:rsidRDefault="00776681" w:rsidP="00776681">
                  <w:pPr>
                    <w:jc w:val="center"/>
                    <w:rPr>
                      <w:rFonts w:cstheme="minorHAnsi"/>
                      <w:lang w:val="en-GB"/>
                    </w:rPr>
                  </w:pPr>
                  <w:r w:rsidRPr="008B313B">
                    <w:rPr>
                      <w:rFonts w:cstheme="minorHAnsi"/>
                      <w:lang w:val="en-GB"/>
                    </w:rPr>
                    <w:t>10</w:t>
                  </w:r>
                </w:p>
              </w:tc>
            </w:tr>
            <w:tr w:rsidR="00776681" w:rsidRPr="008B313B" w14:paraId="72842B8C" w14:textId="77777777" w:rsidTr="009A45B8">
              <w:trPr>
                <w:jc w:val="center"/>
              </w:trPr>
              <w:tc>
                <w:tcPr>
                  <w:tcW w:w="738" w:type="dxa"/>
                  <w:shd w:val="clear" w:color="auto" w:fill="auto"/>
                  <w:vAlign w:val="center"/>
                </w:tcPr>
                <w:p w14:paraId="22872AF5" w14:textId="77777777" w:rsidR="00776681" w:rsidRPr="008B313B" w:rsidRDefault="00776681" w:rsidP="00776681">
                  <w:pPr>
                    <w:jc w:val="right"/>
                    <w:rPr>
                      <w:rFonts w:cstheme="minorHAnsi"/>
                      <w:lang w:val="en-GB"/>
                    </w:rPr>
                  </w:pPr>
                  <w:r w:rsidRPr="008B313B">
                    <w:rPr>
                      <w:rFonts w:cstheme="minorHAnsi"/>
                      <w:lang w:val="en-GB"/>
                    </w:rPr>
                    <w:t>3.</w:t>
                  </w:r>
                </w:p>
              </w:tc>
              <w:tc>
                <w:tcPr>
                  <w:tcW w:w="3864" w:type="dxa"/>
                  <w:shd w:val="clear" w:color="auto" w:fill="auto"/>
                  <w:vAlign w:val="center"/>
                </w:tcPr>
                <w:p w14:paraId="3687B5EC" w14:textId="1D34981E" w:rsidR="00776681" w:rsidRPr="008B313B" w:rsidRDefault="00776681" w:rsidP="00776681">
                  <w:pPr>
                    <w:jc w:val="both"/>
                    <w:rPr>
                      <w:rFonts w:cstheme="minorHAnsi"/>
                      <w:lang w:val="en-GB"/>
                    </w:rPr>
                  </w:pPr>
                  <w:r w:rsidRPr="008B313B">
                    <w:rPr>
                      <w:lang w:val="en-GB"/>
                    </w:rPr>
                    <w:t>Seminar paper</w:t>
                  </w:r>
                </w:p>
              </w:tc>
              <w:tc>
                <w:tcPr>
                  <w:tcW w:w="1417" w:type="dxa"/>
                  <w:shd w:val="clear" w:color="auto" w:fill="auto"/>
                  <w:vAlign w:val="center"/>
                </w:tcPr>
                <w:p w14:paraId="0F5AEC10" w14:textId="77777777" w:rsidR="00776681" w:rsidRPr="008B313B" w:rsidRDefault="00776681" w:rsidP="00776681">
                  <w:pPr>
                    <w:jc w:val="center"/>
                    <w:rPr>
                      <w:rFonts w:cstheme="minorHAnsi"/>
                      <w:lang w:val="en-GB"/>
                    </w:rPr>
                  </w:pPr>
                  <w:r w:rsidRPr="008B313B">
                    <w:rPr>
                      <w:rFonts w:cstheme="minorHAnsi"/>
                      <w:lang w:val="en-GB"/>
                    </w:rPr>
                    <w:t>35</w:t>
                  </w:r>
                </w:p>
              </w:tc>
              <w:tc>
                <w:tcPr>
                  <w:tcW w:w="1312" w:type="dxa"/>
                  <w:vAlign w:val="center"/>
                </w:tcPr>
                <w:p w14:paraId="2E1EE6AC" w14:textId="77777777" w:rsidR="00776681" w:rsidRPr="008B313B" w:rsidRDefault="00776681" w:rsidP="00776681">
                  <w:pPr>
                    <w:jc w:val="center"/>
                    <w:rPr>
                      <w:rFonts w:cstheme="minorHAnsi"/>
                      <w:lang w:val="en-GB"/>
                    </w:rPr>
                  </w:pPr>
                  <w:r w:rsidRPr="008B313B">
                    <w:rPr>
                      <w:rFonts w:cstheme="minorHAnsi"/>
                      <w:lang w:val="en-GB"/>
                    </w:rPr>
                    <w:t>35</w:t>
                  </w:r>
                </w:p>
              </w:tc>
            </w:tr>
            <w:tr w:rsidR="00776681" w:rsidRPr="008B313B" w14:paraId="0FAE7096" w14:textId="77777777" w:rsidTr="009A45B8">
              <w:trPr>
                <w:jc w:val="center"/>
              </w:trPr>
              <w:tc>
                <w:tcPr>
                  <w:tcW w:w="738" w:type="dxa"/>
                  <w:shd w:val="clear" w:color="auto" w:fill="auto"/>
                  <w:vAlign w:val="center"/>
                </w:tcPr>
                <w:p w14:paraId="53879C9C" w14:textId="77777777" w:rsidR="00776681" w:rsidRPr="008B313B" w:rsidRDefault="00776681" w:rsidP="00776681">
                  <w:pPr>
                    <w:jc w:val="right"/>
                    <w:rPr>
                      <w:rFonts w:cstheme="minorHAnsi"/>
                      <w:lang w:val="en-GB"/>
                    </w:rPr>
                  </w:pPr>
                  <w:r w:rsidRPr="008B313B">
                    <w:rPr>
                      <w:rFonts w:cstheme="minorHAnsi"/>
                      <w:lang w:val="en-GB"/>
                    </w:rPr>
                    <w:t>4.</w:t>
                  </w:r>
                </w:p>
              </w:tc>
              <w:tc>
                <w:tcPr>
                  <w:tcW w:w="3864" w:type="dxa"/>
                  <w:shd w:val="clear" w:color="auto" w:fill="auto"/>
                  <w:vAlign w:val="center"/>
                </w:tcPr>
                <w:p w14:paraId="148FE52A" w14:textId="2A7D1D33" w:rsidR="00776681" w:rsidRPr="008B313B" w:rsidRDefault="00776681" w:rsidP="00776681">
                  <w:pPr>
                    <w:jc w:val="both"/>
                    <w:rPr>
                      <w:rFonts w:cstheme="minorHAnsi"/>
                      <w:lang w:val="en-GB"/>
                    </w:rPr>
                  </w:pPr>
                  <w:r w:rsidRPr="008B313B">
                    <w:rPr>
                      <w:lang w:val="en-GB"/>
                    </w:rPr>
                    <w:t>Final exam</w:t>
                  </w:r>
                </w:p>
              </w:tc>
              <w:tc>
                <w:tcPr>
                  <w:tcW w:w="1417" w:type="dxa"/>
                  <w:shd w:val="clear" w:color="auto" w:fill="auto"/>
                  <w:vAlign w:val="center"/>
                </w:tcPr>
                <w:p w14:paraId="6F574396" w14:textId="77777777" w:rsidR="00776681" w:rsidRPr="008B313B" w:rsidRDefault="00776681" w:rsidP="00776681">
                  <w:pPr>
                    <w:jc w:val="center"/>
                    <w:rPr>
                      <w:rFonts w:cstheme="minorHAnsi"/>
                      <w:lang w:val="en-GB"/>
                    </w:rPr>
                  </w:pPr>
                  <w:r w:rsidRPr="008B313B">
                    <w:rPr>
                      <w:rFonts w:cstheme="minorHAnsi"/>
                      <w:lang w:val="en-GB"/>
                    </w:rPr>
                    <w:t>45</w:t>
                  </w:r>
                </w:p>
              </w:tc>
              <w:tc>
                <w:tcPr>
                  <w:tcW w:w="1312" w:type="dxa"/>
                  <w:vAlign w:val="center"/>
                </w:tcPr>
                <w:p w14:paraId="01C8CEB4" w14:textId="77777777" w:rsidR="00776681" w:rsidRPr="008B313B" w:rsidRDefault="00776681" w:rsidP="00776681">
                  <w:pPr>
                    <w:jc w:val="center"/>
                    <w:rPr>
                      <w:rFonts w:cstheme="minorHAnsi"/>
                      <w:lang w:val="en-GB"/>
                    </w:rPr>
                  </w:pPr>
                  <w:r w:rsidRPr="008B313B">
                    <w:rPr>
                      <w:rFonts w:cstheme="minorHAnsi"/>
                      <w:lang w:val="en-GB"/>
                    </w:rPr>
                    <w:t>45</w:t>
                  </w:r>
                </w:p>
              </w:tc>
            </w:tr>
            <w:tr w:rsidR="005C71CE" w:rsidRPr="008B313B" w14:paraId="1E8340C3" w14:textId="77777777" w:rsidTr="009A45B8">
              <w:trPr>
                <w:jc w:val="center"/>
              </w:trPr>
              <w:tc>
                <w:tcPr>
                  <w:tcW w:w="6019" w:type="dxa"/>
                  <w:gridSpan w:val="3"/>
                  <w:shd w:val="clear" w:color="auto" w:fill="auto"/>
                  <w:vAlign w:val="center"/>
                </w:tcPr>
                <w:p w14:paraId="3221EFE1" w14:textId="2D18AB66" w:rsidR="005C71CE" w:rsidRPr="008B313B" w:rsidRDefault="00776681" w:rsidP="005C71CE">
                  <w:pPr>
                    <w:jc w:val="right"/>
                    <w:rPr>
                      <w:rFonts w:cstheme="minorHAnsi"/>
                      <w:lang w:val="en-GB"/>
                    </w:rPr>
                  </w:pPr>
                  <w:r w:rsidRPr="008B313B">
                    <w:rPr>
                      <w:lang w:val="en-GB"/>
                    </w:rPr>
                    <w:t>Total: 100 points</w:t>
                  </w:r>
                </w:p>
              </w:tc>
              <w:tc>
                <w:tcPr>
                  <w:tcW w:w="1312" w:type="dxa"/>
                  <w:vAlign w:val="center"/>
                </w:tcPr>
                <w:p w14:paraId="5AFC5CDC" w14:textId="77777777" w:rsidR="005C71CE" w:rsidRPr="008B313B" w:rsidRDefault="005C71CE" w:rsidP="005C71CE">
                  <w:pPr>
                    <w:jc w:val="center"/>
                    <w:rPr>
                      <w:rFonts w:cstheme="minorHAnsi"/>
                      <w:lang w:val="en-GB"/>
                    </w:rPr>
                  </w:pPr>
                  <w:r w:rsidRPr="008B313B">
                    <w:rPr>
                      <w:rFonts w:cstheme="minorHAnsi"/>
                      <w:lang w:val="en-GB"/>
                    </w:rPr>
                    <w:t>100%</w:t>
                  </w:r>
                </w:p>
              </w:tc>
            </w:tr>
          </w:tbl>
          <w:p w14:paraId="2C582E57" w14:textId="77777777" w:rsidR="005C71CE" w:rsidRPr="008B313B" w:rsidRDefault="005C71CE" w:rsidP="005C71CE">
            <w:pPr>
              <w:rPr>
                <w:rFonts w:eastAsia="Times New Roman" w:cstheme="minorHAnsi"/>
                <w:lang w:val="en-GB" w:eastAsia="hr-BA"/>
              </w:rPr>
            </w:pPr>
          </w:p>
          <w:p w14:paraId="4DF68D9B" w14:textId="08AFD2CF" w:rsidR="005C71CE" w:rsidRPr="008B313B" w:rsidRDefault="00776681" w:rsidP="005C71CE">
            <w:pPr>
              <w:ind w:left="86"/>
              <w:jc w:val="both"/>
              <w:rPr>
                <w:rFonts w:eastAsia="Times New Roman" w:cstheme="minorHAnsi"/>
                <w:lang w:val="en-GB" w:eastAsia="hr-BA"/>
              </w:rPr>
            </w:pPr>
            <w:r w:rsidRPr="008B313B">
              <w:rPr>
                <w:rFonts w:eastAsia="Times New Roman" w:cs="Arial"/>
                <w:lang w:val="en-GB" w:eastAsia="hr-BA"/>
              </w:rPr>
              <w:t>Students’ knowledge assessment is organised in exam periods stipulated by the academic calendar</w:t>
            </w:r>
            <w:r w:rsidR="005C71CE" w:rsidRPr="008B313B">
              <w:rPr>
                <w:rFonts w:eastAsia="Times New Roman" w:cstheme="minorHAnsi"/>
                <w:lang w:val="en-GB" w:eastAsia="hr-BA"/>
              </w:rPr>
              <w:t>.</w:t>
            </w:r>
          </w:p>
          <w:p w14:paraId="06A35086" w14:textId="7BF525E3" w:rsidR="005C71CE" w:rsidRPr="008B313B" w:rsidRDefault="00776681" w:rsidP="005C71CE">
            <w:pPr>
              <w:ind w:left="86"/>
              <w:jc w:val="both"/>
              <w:rPr>
                <w:rFonts w:eastAsia="Times New Roman" w:cstheme="minorHAnsi"/>
                <w:lang w:val="en-GB" w:eastAsia="hr-BA"/>
              </w:rPr>
            </w:pPr>
            <w:r w:rsidRPr="008B313B">
              <w:rPr>
                <w:rFonts w:eastAsia="Times New Roman" w:cs="Arial"/>
                <w:lang w:val="en-GB" w:eastAsia="hr-BA"/>
              </w:rPr>
              <w:t>Students who met the 55% criterion and performed other forms of activities during the semester (attendance, engagement, seminar paper) completed their duties under the course. The teacher formulates the final grade on the basis of all assessment elements</w:t>
            </w:r>
            <w:r w:rsidR="005C71CE" w:rsidRPr="008B313B">
              <w:rPr>
                <w:rFonts w:eastAsia="Times New Roman" w:cstheme="minorHAnsi"/>
                <w:lang w:val="en-GB" w:eastAsia="hr-BA"/>
              </w:rPr>
              <w:t>.</w:t>
            </w:r>
          </w:p>
          <w:p w14:paraId="4254D6A8" w14:textId="3BAC8019" w:rsidR="005C71CE" w:rsidRPr="008B313B" w:rsidRDefault="00776681" w:rsidP="005C71CE">
            <w:pPr>
              <w:ind w:left="86"/>
              <w:rPr>
                <w:rFonts w:eastAsia="Times New Roman" w:cstheme="minorHAnsi"/>
                <w:lang w:val="en-GB" w:eastAsia="hr-BA"/>
              </w:rPr>
            </w:pPr>
            <w:r w:rsidRPr="008B313B">
              <w:rPr>
                <w:rFonts w:eastAsia="Times New Roman" w:cs="Arial"/>
                <w:lang w:val="en-GB" w:eastAsia="hr-BA"/>
              </w:rPr>
              <w:t>Students’ final success, following all forms of knowledge assessment, is evaluated and graded as follows</w:t>
            </w:r>
            <w:r w:rsidR="005C71CE" w:rsidRPr="008B313B">
              <w:rPr>
                <w:rFonts w:eastAsia="Times New Roman" w:cstheme="minorHAnsi"/>
                <w:lang w:val="en-GB" w:eastAsia="hr-BA"/>
              </w:rPr>
              <w:t>:</w:t>
            </w:r>
          </w:p>
          <w:p w14:paraId="3B37E7BD"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a) 10 (A) - outstanding success, carries 95-100 points;</w:t>
            </w:r>
          </w:p>
          <w:p w14:paraId="6AC22403"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b) 9 (B) - above average, carries 85-94 points;</w:t>
            </w:r>
          </w:p>
          <w:p w14:paraId="34EC6593"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c) 8 (C) - average, carries 75-84 points;</w:t>
            </w:r>
          </w:p>
          <w:p w14:paraId="6C01941D"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d) 7 (D) - generally good, however with more significant flaws, carries 65-74 points;</w:t>
            </w:r>
          </w:p>
          <w:p w14:paraId="139C02F7"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e) 6 (E) - fulfils the minimum criteria, carries 55-64 points;</w:t>
            </w:r>
          </w:p>
          <w:p w14:paraId="24E5A111" w14:textId="632A7CE5" w:rsidR="005C71CE" w:rsidRPr="008B313B" w:rsidRDefault="00776681" w:rsidP="00776681">
            <w:pPr>
              <w:ind w:left="86"/>
              <w:jc w:val="both"/>
              <w:rPr>
                <w:rFonts w:eastAsia="Times New Roman" w:cstheme="minorHAnsi"/>
                <w:lang w:val="en-GB" w:eastAsia="hr-BA"/>
              </w:rPr>
            </w:pPr>
            <w:r w:rsidRPr="008B313B">
              <w:rPr>
                <w:rFonts w:eastAsia="Times New Roman" w:cs="Arial"/>
                <w:lang w:val="en-GB" w:eastAsia="hr-BA"/>
              </w:rPr>
              <w:t>f) 5 (F, FX) - does not fulfil the minimum criteria, less than 55 points</w:t>
            </w:r>
            <w:r w:rsidR="005C71CE" w:rsidRPr="008B313B">
              <w:rPr>
                <w:rFonts w:eastAsia="Times New Roman" w:cstheme="minorHAnsi"/>
                <w:lang w:val="en-GB" w:eastAsia="hr-BA"/>
              </w:rPr>
              <w:t>.</w:t>
            </w:r>
          </w:p>
        </w:tc>
      </w:tr>
      <w:tr w:rsidR="005C71CE" w:rsidRPr="008B313B" w14:paraId="52C0FFA0"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71617E" w14:textId="77777777" w:rsidR="005C71CE" w:rsidRPr="008B313B" w:rsidRDefault="005C71CE" w:rsidP="005C71CE">
            <w:pPr>
              <w:rPr>
                <w:rFonts w:eastAsia="Calibri"/>
                <w:color w:val="000000"/>
                <w:kern w:val="24"/>
                <w:lang w:val="en-GB" w:eastAsia="hr-BA"/>
              </w:rPr>
            </w:pPr>
            <w:r w:rsidRPr="008B313B">
              <w:rPr>
                <w:rFonts w:eastAsia="Calibri"/>
                <w:b/>
                <w:bCs/>
                <w:color w:val="000000"/>
                <w:kern w:val="24"/>
                <w:lang w:val="en-GB" w:eastAsia="hr-BA"/>
              </w:rPr>
              <w:t>Literature</w:t>
            </w:r>
            <w:r w:rsidRPr="008B313B">
              <w:rPr>
                <w:rStyle w:val="FootnoteReference"/>
                <w:rFonts w:eastAsia="Calibri"/>
                <w:b/>
                <w:bCs/>
                <w:color w:val="000000"/>
                <w:kern w:val="24"/>
                <w:lang w:val="en-GB" w:eastAsia="hr-BA"/>
              </w:rPr>
              <w:footnoteReference w:id="2"/>
            </w:r>
            <w:r w:rsidRPr="008B313B">
              <w:rPr>
                <w:rFonts w:eastAsia="Calibri"/>
                <w:b/>
                <w:bCs/>
                <w:color w:val="000000"/>
                <w:kern w:val="24"/>
                <w:lang w:val="en-GB" w:eastAsia="hr-BA"/>
              </w:rPr>
              <w:t>:</w:t>
            </w:r>
            <w:r w:rsidRPr="008B313B">
              <w:rPr>
                <w:rFonts w:eastAsia="Calibri"/>
                <w:color w:val="000000"/>
                <w:kern w:val="24"/>
                <w:lang w:val="en-GB" w:eastAsia="hr-BA"/>
              </w:rPr>
              <w:t xml:space="preserve"> </w:t>
            </w:r>
          </w:p>
          <w:p w14:paraId="62B61096" w14:textId="77777777" w:rsidR="005C71CE" w:rsidRPr="008B313B" w:rsidRDefault="005C71CE" w:rsidP="005C71CE">
            <w:pPr>
              <w:rPr>
                <w:rFonts w:eastAsia="Times New Roman" w:cs="Arial"/>
                <w:b/>
                <w:i/>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DA74752" w14:textId="6E84B21E" w:rsidR="005C71CE" w:rsidRPr="008B313B" w:rsidRDefault="005C71CE" w:rsidP="005C71CE">
            <w:pPr>
              <w:pStyle w:val="Default"/>
              <w:rPr>
                <w:rFonts w:asciiTheme="minorHAnsi" w:eastAsia="Times New Roman" w:hAnsiTheme="minorHAnsi" w:cstheme="minorHAnsi"/>
                <w:sz w:val="22"/>
                <w:szCs w:val="22"/>
                <w:lang w:val="en-GB" w:eastAsia="hr-BA"/>
              </w:rPr>
            </w:pPr>
            <w:r w:rsidRPr="008B313B">
              <w:rPr>
                <w:rFonts w:asciiTheme="minorHAnsi" w:eastAsia="Times New Roman" w:hAnsiTheme="minorHAnsi" w:cstheme="minorHAnsi"/>
                <w:sz w:val="22"/>
                <w:szCs w:val="22"/>
                <w:lang w:val="en-GB" w:eastAsia="hr-BA"/>
              </w:rPr>
              <w:lastRenderedPageBreak/>
              <w:t xml:space="preserve">Graeme Turner &amp; </w:t>
            </w:r>
            <w:proofErr w:type="spellStart"/>
            <w:r w:rsidRPr="008B313B">
              <w:rPr>
                <w:rFonts w:asciiTheme="minorHAnsi" w:eastAsia="Times New Roman" w:hAnsiTheme="minorHAnsi" w:cstheme="minorHAnsi"/>
                <w:sz w:val="22"/>
                <w:szCs w:val="22"/>
                <w:lang w:val="en-GB" w:eastAsia="hr-BA"/>
              </w:rPr>
              <w:t>Jinna</w:t>
            </w:r>
            <w:proofErr w:type="spellEnd"/>
            <w:r w:rsidRPr="008B313B">
              <w:rPr>
                <w:rFonts w:asciiTheme="minorHAnsi" w:eastAsia="Times New Roman" w:hAnsiTheme="minorHAnsi" w:cstheme="minorHAnsi"/>
                <w:sz w:val="22"/>
                <w:szCs w:val="22"/>
                <w:lang w:val="en-GB" w:eastAsia="hr-BA"/>
              </w:rPr>
              <w:t xml:space="preserve"> </w:t>
            </w:r>
            <w:proofErr w:type="spellStart"/>
            <w:r w:rsidRPr="008B313B">
              <w:rPr>
                <w:rFonts w:asciiTheme="minorHAnsi" w:eastAsia="Times New Roman" w:hAnsiTheme="minorHAnsi" w:cstheme="minorHAnsi"/>
                <w:sz w:val="22"/>
                <w:szCs w:val="22"/>
                <w:lang w:val="en-GB" w:eastAsia="hr-BA"/>
              </w:rPr>
              <w:t>Tay</w:t>
            </w:r>
            <w:proofErr w:type="spellEnd"/>
            <w:r w:rsidRPr="008B313B">
              <w:rPr>
                <w:rFonts w:asciiTheme="minorHAnsi" w:eastAsia="Times New Roman" w:hAnsiTheme="minorHAnsi" w:cstheme="minorHAnsi"/>
                <w:sz w:val="22"/>
                <w:szCs w:val="22"/>
                <w:lang w:val="en-GB" w:eastAsia="hr-BA"/>
              </w:rPr>
              <w:t xml:space="preserve">: Television </w:t>
            </w:r>
            <w:r w:rsidR="008B313B" w:rsidRPr="008B313B">
              <w:rPr>
                <w:rFonts w:asciiTheme="minorHAnsi" w:eastAsia="Times New Roman" w:hAnsiTheme="minorHAnsi" w:cstheme="minorHAnsi"/>
                <w:sz w:val="22"/>
                <w:szCs w:val="22"/>
                <w:lang w:val="en-GB" w:eastAsia="hr-BA"/>
              </w:rPr>
              <w:t>S</w:t>
            </w:r>
            <w:r w:rsidRPr="008B313B">
              <w:rPr>
                <w:rFonts w:asciiTheme="minorHAnsi" w:eastAsia="Times New Roman" w:hAnsiTheme="minorHAnsi" w:cstheme="minorHAnsi"/>
                <w:sz w:val="22"/>
                <w:szCs w:val="22"/>
                <w:lang w:val="en-GB" w:eastAsia="hr-BA"/>
              </w:rPr>
              <w:t xml:space="preserve">tudies </w:t>
            </w:r>
            <w:r w:rsidR="008B313B" w:rsidRPr="008B313B">
              <w:rPr>
                <w:rFonts w:asciiTheme="minorHAnsi" w:eastAsia="Times New Roman" w:hAnsiTheme="minorHAnsi" w:cstheme="minorHAnsi"/>
                <w:sz w:val="22"/>
                <w:szCs w:val="22"/>
                <w:lang w:val="en-GB" w:eastAsia="hr-BA"/>
              </w:rPr>
              <w:t>A</w:t>
            </w:r>
            <w:r w:rsidRPr="008B313B">
              <w:rPr>
                <w:rFonts w:asciiTheme="minorHAnsi" w:eastAsia="Times New Roman" w:hAnsiTheme="minorHAnsi" w:cstheme="minorHAnsi"/>
                <w:sz w:val="22"/>
                <w:szCs w:val="22"/>
                <w:lang w:val="en-GB" w:eastAsia="hr-BA"/>
              </w:rPr>
              <w:t>fter TV</w:t>
            </w:r>
          </w:p>
          <w:p w14:paraId="15680629" w14:textId="77777777" w:rsidR="005C71CE" w:rsidRPr="008B313B" w:rsidRDefault="005C71CE" w:rsidP="005C71CE">
            <w:pPr>
              <w:pStyle w:val="Default"/>
              <w:rPr>
                <w:rFonts w:asciiTheme="minorHAnsi" w:eastAsia="Times New Roman" w:hAnsiTheme="minorHAnsi" w:cstheme="minorHAnsi"/>
                <w:sz w:val="22"/>
                <w:szCs w:val="22"/>
                <w:lang w:val="en-GB" w:eastAsia="hr-BA"/>
              </w:rPr>
            </w:pPr>
            <w:r w:rsidRPr="008B313B">
              <w:rPr>
                <w:rFonts w:asciiTheme="minorHAnsi" w:eastAsia="Times New Roman" w:hAnsiTheme="minorHAnsi" w:cstheme="minorHAnsi"/>
                <w:sz w:val="22"/>
                <w:szCs w:val="22"/>
                <w:lang w:val="en-GB" w:eastAsia="hr-BA"/>
              </w:rPr>
              <w:lastRenderedPageBreak/>
              <w:t xml:space="preserve">Amanda </w:t>
            </w:r>
            <w:proofErr w:type="spellStart"/>
            <w:r w:rsidRPr="008B313B">
              <w:rPr>
                <w:rFonts w:asciiTheme="minorHAnsi" w:eastAsia="Times New Roman" w:hAnsiTheme="minorHAnsi" w:cstheme="minorHAnsi"/>
                <w:sz w:val="22"/>
                <w:szCs w:val="22"/>
                <w:lang w:val="en-GB" w:eastAsia="hr-BA"/>
              </w:rPr>
              <w:t>Lotz</w:t>
            </w:r>
            <w:proofErr w:type="spellEnd"/>
            <w:r w:rsidRPr="008B313B">
              <w:rPr>
                <w:rFonts w:asciiTheme="minorHAnsi" w:eastAsia="Times New Roman" w:hAnsiTheme="minorHAnsi" w:cstheme="minorHAnsi"/>
                <w:sz w:val="22"/>
                <w:szCs w:val="22"/>
                <w:lang w:val="en-GB" w:eastAsia="hr-BA"/>
              </w:rPr>
              <w:t>: The Television Will Be Revolutionized</w:t>
            </w:r>
          </w:p>
        </w:tc>
      </w:tr>
    </w:tbl>
    <w:p w14:paraId="0C09C035" w14:textId="77777777" w:rsidR="005C71CE" w:rsidRPr="008B313B" w:rsidRDefault="005C71CE" w:rsidP="004449AC">
      <w:pPr>
        <w:rPr>
          <w:lang w:val="en-GB"/>
        </w:rPr>
      </w:pPr>
    </w:p>
    <w:sectPr w:rsidR="005C71CE" w:rsidRPr="008B313B"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6BED5" w14:textId="77777777" w:rsidR="00090C18" w:rsidRDefault="00090C18" w:rsidP="004D5601">
      <w:pPr>
        <w:spacing w:after="0" w:line="240" w:lineRule="auto"/>
      </w:pPr>
      <w:r>
        <w:separator/>
      </w:r>
    </w:p>
  </w:endnote>
  <w:endnote w:type="continuationSeparator" w:id="0">
    <w:p w14:paraId="4536135E" w14:textId="77777777" w:rsidR="00090C18" w:rsidRDefault="00090C18"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7BF9" w14:textId="77777777" w:rsidR="007E7CDE" w:rsidRDefault="007E7C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BA73" w14:textId="77777777" w:rsidR="007E7CDE" w:rsidRDefault="007E7C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B0BE" w14:textId="77777777" w:rsidR="007E7CDE" w:rsidRDefault="007E7C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014EC" w14:textId="77777777" w:rsidR="00090C18" w:rsidRDefault="00090C18" w:rsidP="004D5601">
      <w:pPr>
        <w:spacing w:after="0" w:line="240" w:lineRule="auto"/>
      </w:pPr>
      <w:r>
        <w:separator/>
      </w:r>
    </w:p>
  </w:footnote>
  <w:footnote w:type="continuationSeparator" w:id="0">
    <w:p w14:paraId="602B870A" w14:textId="77777777" w:rsidR="00090C18" w:rsidRDefault="00090C18" w:rsidP="004D5601">
      <w:pPr>
        <w:spacing w:after="0" w:line="240" w:lineRule="auto"/>
      </w:pPr>
      <w:r>
        <w:continuationSeparator/>
      </w:r>
    </w:p>
  </w:footnote>
  <w:footnote w:id="1">
    <w:p w14:paraId="748F211A" w14:textId="77777777" w:rsidR="005C71CE" w:rsidRPr="00156B78" w:rsidRDefault="005C71CE"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31F5C580" w14:textId="77777777" w:rsidR="005C71CE" w:rsidRPr="00156B78" w:rsidRDefault="005C71CE"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C0CD" w14:textId="77777777" w:rsidR="007E7CDE" w:rsidRDefault="007E7C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EA05335"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33BD4DF6"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064965C"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2DE8FF8B"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7FF425C"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7A50D11" w14:textId="77777777" w:rsidR="00156B78" w:rsidRDefault="00090C18"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1F325D6"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7E7CDE">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7E7CDE">
            <w:rPr>
              <w:rFonts w:ascii="Calibri" w:hAnsi="Calibri" w:cs="Calibri"/>
              <w:b/>
              <w:bCs/>
              <w:noProof/>
              <w:sz w:val="20"/>
            </w:rPr>
            <w:t>3</w:t>
          </w:r>
          <w:r w:rsidR="00752035" w:rsidRPr="008F449E">
            <w:rPr>
              <w:rFonts w:ascii="Calibri" w:hAnsi="Calibri" w:cs="Calibri"/>
              <w:b/>
              <w:bCs/>
              <w:sz w:val="20"/>
            </w:rPr>
            <w:fldChar w:fldCharType="end"/>
          </w:r>
        </w:p>
      </w:tc>
    </w:tr>
  </w:tbl>
  <w:p w14:paraId="66A17F10" w14:textId="77777777" w:rsidR="00156B78" w:rsidRDefault="00090C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CB8B"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578C890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71E60540" w14:textId="77777777" w:rsidR="007E7CDE" w:rsidRPr="00ED5C2C" w:rsidRDefault="00752035" w:rsidP="007E7CDE">
          <w:pPr>
            <w:rPr>
              <w:rFonts w:ascii="Calibri" w:hAnsi="Calibri" w:cs="Calibri"/>
              <w:b/>
              <w:color w:val="7F7F7F"/>
              <w:sz w:val="16"/>
            </w:rPr>
          </w:pPr>
          <w:r>
            <w:rPr>
              <w:rFonts w:ascii="Calibri" w:hAnsi="Calibri" w:cs="Calibri"/>
              <w:b/>
              <w:noProof/>
              <w:sz w:val="16"/>
              <w:lang w:val="en-GB" w:eastAsia="en-GB"/>
            </w:rPr>
            <w:drawing>
              <wp:inline distT="0" distB="0" distL="0" distR="0" wp14:anchorId="26D525D0" wp14:editId="5A1862B2">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776681">
            <w:rPr>
              <w:rFonts w:ascii="Calibri" w:hAnsi="Calibri" w:cs="Calibri"/>
              <w:b/>
              <w:sz w:val="16"/>
            </w:rPr>
            <w:t xml:space="preserve"> </w:t>
          </w:r>
          <w:bookmarkStart w:id="0" w:name="_GoBack"/>
          <w:r w:rsidR="007E7CDE">
            <w:rPr>
              <w:rFonts w:ascii="Calibri" w:hAnsi="Calibri" w:cs="Calibri"/>
              <w:b/>
              <w:noProof/>
              <w:color w:val="7F7F7F"/>
              <w:sz w:val="16"/>
              <w:lang w:val="en-GB" w:eastAsia="en-GB"/>
            </w:rPr>
            <w:drawing>
              <wp:inline distT="0" distB="0" distL="0" distR="0" wp14:anchorId="57C3D8FB" wp14:editId="0F67FE76">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2064587F" w14:textId="77777777" w:rsidR="007E7CDE" w:rsidRPr="00156B78" w:rsidRDefault="007E7CDE" w:rsidP="007E7CDE">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E066CBC" w14:textId="246A248B" w:rsidR="00156B78" w:rsidRPr="00ED5C2C" w:rsidRDefault="007E7CDE" w:rsidP="007E7CDE">
          <w:pPr>
            <w:jc w:val="center"/>
            <w:rPr>
              <w:rFonts w:ascii="Calibri" w:hAnsi="Calibri" w:cs="Calibri"/>
              <w:b/>
              <w:sz w:val="28"/>
              <w:szCs w:val="28"/>
            </w:rPr>
          </w:pPr>
          <w:r>
            <w:rPr>
              <w:rFonts w:ascii="Calibri" w:hAnsi="Calibri" w:cs="Calibri"/>
              <w:b/>
              <w:color w:val="7F7F7F"/>
              <w:spacing w:val="20"/>
              <w:szCs w:val="28"/>
            </w:rPr>
            <w:t>GENRES AND FORMATS IN POSTBROADCAST I</w:t>
          </w:r>
          <w:bookmarkEnd w:id="0"/>
        </w:p>
      </w:tc>
      <w:tc>
        <w:tcPr>
          <w:tcW w:w="871" w:type="pct"/>
          <w:tcBorders>
            <w:top w:val="single" w:sz="4" w:space="0" w:color="auto"/>
            <w:left w:val="single" w:sz="4" w:space="0" w:color="auto"/>
            <w:right w:val="single" w:sz="4" w:space="0" w:color="auto"/>
          </w:tcBorders>
          <w:vAlign w:val="center"/>
        </w:tcPr>
        <w:p w14:paraId="5786558B"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2BEE73F"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57232C7" w14:textId="77777777" w:rsidR="00156B78" w:rsidRDefault="00090C18"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912D695"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7E7CDE">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7E7CDE">
            <w:rPr>
              <w:rFonts w:ascii="Calibri" w:hAnsi="Calibri" w:cs="Calibri"/>
              <w:b/>
              <w:bCs/>
              <w:noProof/>
              <w:sz w:val="20"/>
            </w:rPr>
            <w:t>3</w:t>
          </w:r>
          <w:r w:rsidR="00752035" w:rsidRPr="008F449E">
            <w:rPr>
              <w:rFonts w:ascii="Calibri" w:hAnsi="Calibri" w:cs="Calibri"/>
              <w:b/>
              <w:bCs/>
              <w:sz w:val="20"/>
            </w:rPr>
            <w:fldChar w:fldCharType="end"/>
          </w:r>
        </w:p>
      </w:tc>
    </w:tr>
  </w:tbl>
  <w:p w14:paraId="20BA42EA" w14:textId="77777777" w:rsidR="00156B78" w:rsidRDefault="00090C18"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90C18"/>
    <w:rsid w:val="00131101"/>
    <w:rsid w:val="002038FD"/>
    <w:rsid w:val="00220DF1"/>
    <w:rsid w:val="0025736B"/>
    <w:rsid w:val="0035751E"/>
    <w:rsid w:val="00387EC8"/>
    <w:rsid w:val="003D1CFE"/>
    <w:rsid w:val="0044291D"/>
    <w:rsid w:val="004449AC"/>
    <w:rsid w:val="004D2E34"/>
    <w:rsid w:val="004D5601"/>
    <w:rsid w:val="00504ED1"/>
    <w:rsid w:val="00514A9E"/>
    <w:rsid w:val="00526BB8"/>
    <w:rsid w:val="005C0182"/>
    <w:rsid w:val="005C71CE"/>
    <w:rsid w:val="005D4B85"/>
    <w:rsid w:val="005D7173"/>
    <w:rsid w:val="006A6205"/>
    <w:rsid w:val="007061BA"/>
    <w:rsid w:val="0074794E"/>
    <w:rsid w:val="00752035"/>
    <w:rsid w:val="00776681"/>
    <w:rsid w:val="007944FD"/>
    <w:rsid w:val="007A4DED"/>
    <w:rsid w:val="007E60A5"/>
    <w:rsid w:val="007E7CDE"/>
    <w:rsid w:val="007F3D8A"/>
    <w:rsid w:val="008154CB"/>
    <w:rsid w:val="008B313B"/>
    <w:rsid w:val="00992E01"/>
    <w:rsid w:val="009E56CD"/>
    <w:rsid w:val="00A2020C"/>
    <w:rsid w:val="00B5327C"/>
    <w:rsid w:val="00BA0B86"/>
    <w:rsid w:val="00BB6297"/>
    <w:rsid w:val="00BD03B5"/>
    <w:rsid w:val="00BF6089"/>
    <w:rsid w:val="00C342BA"/>
    <w:rsid w:val="00CE2E92"/>
    <w:rsid w:val="00D537B9"/>
    <w:rsid w:val="00DB707F"/>
    <w:rsid w:val="00E4645E"/>
    <w:rsid w:val="00EB5352"/>
    <w:rsid w:val="00EB6DAC"/>
    <w:rsid w:val="00F001DF"/>
    <w:rsid w:val="00F00FD6"/>
    <w:rsid w:val="00F27805"/>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B4D0"/>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5C71CE"/>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2020-03-31T23:10:00Z</dcterms:created>
  <dcterms:modified xsi:type="dcterms:W3CDTF">2020-05-20T12:52:00Z</dcterms:modified>
</cp:coreProperties>
</file>