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995"/>
        <w:gridCol w:w="3108"/>
        <w:gridCol w:w="2693"/>
      </w:tblGrid>
      <w:tr w:rsidR="002C7BDB" w:rsidRPr="00EC6A80" w:rsidTr="00E807D4">
        <w:trPr>
          <w:trHeight w:val="293"/>
          <w:jc w:val="center"/>
        </w:trPr>
        <w:tc>
          <w:tcPr>
            <w:tcW w:w="2689" w:type="dxa"/>
          </w:tcPr>
          <w:p w:rsidR="002C7BDB" w:rsidRPr="00EC6A80" w:rsidRDefault="002C7BDB" w:rsidP="00EC6A8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code: </w:t>
            </w:r>
          </w:p>
          <w:p w:rsidR="002C7BDB" w:rsidRPr="00EC6A80" w:rsidRDefault="002C7BDB" w:rsidP="00EC6A8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7796" w:type="dxa"/>
            <w:gridSpan w:val="3"/>
            <w:vAlign w:val="center"/>
          </w:tcPr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title:</w:t>
            </w:r>
          </w:p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SELECTED TOPICS IN PHARMACOLOGY – FIXED-DOSE COMBINATIONS</w:t>
            </w:r>
          </w:p>
        </w:tc>
      </w:tr>
      <w:tr w:rsidR="002C7BDB" w:rsidRPr="00EC6A80" w:rsidTr="00E807D4">
        <w:trPr>
          <w:trHeight w:val="495"/>
          <w:jc w:val="center"/>
        </w:trPr>
        <w:tc>
          <w:tcPr>
            <w:tcW w:w="2689" w:type="dxa"/>
          </w:tcPr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Level: </w:t>
            </w:r>
          </w:p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1995" w:type="dxa"/>
          </w:tcPr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Year: </w:t>
            </w:r>
          </w:p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</w:p>
        </w:tc>
        <w:tc>
          <w:tcPr>
            <w:tcW w:w="3108" w:type="dxa"/>
          </w:tcPr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</w:t>
            </w:r>
          </w:p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 credits:</w:t>
            </w:r>
          </w:p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C7BDB" w:rsidRPr="00EC6A80" w:rsidTr="00E807D4">
        <w:trPr>
          <w:trHeight w:val="495"/>
          <w:jc w:val="center"/>
        </w:trPr>
        <w:tc>
          <w:tcPr>
            <w:tcW w:w="2689" w:type="dxa"/>
          </w:tcPr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</w:t>
            </w:r>
          </w:p>
        </w:tc>
        <w:tc>
          <w:tcPr>
            <w:tcW w:w="5103" w:type="dxa"/>
            <w:gridSpan w:val="2"/>
          </w:tcPr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hours weekly: </w:t>
            </w:r>
          </w:p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1+1</w:t>
            </w:r>
          </w:p>
        </w:tc>
        <w:tc>
          <w:tcPr>
            <w:tcW w:w="2693" w:type="dxa"/>
          </w:tcPr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 of teaching: 30</w:t>
            </w:r>
          </w:p>
        </w:tc>
      </w:tr>
      <w:tr w:rsidR="002C7BDB" w:rsidRPr="00EC6A80" w:rsidTr="00E807D4">
        <w:trPr>
          <w:trHeight w:val="495"/>
          <w:jc w:val="center"/>
        </w:trPr>
        <w:tc>
          <w:tcPr>
            <w:tcW w:w="2689" w:type="dxa"/>
          </w:tcPr>
          <w:p w:rsidR="002C7BDB" w:rsidRPr="00EC6A80" w:rsidRDefault="002C7BDB" w:rsidP="00EC6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staff:</w:t>
            </w:r>
          </w:p>
        </w:tc>
        <w:tc>
          <w:tcPr>
            <w:tcW w:w="7796" w:type="dxa"/>
            <w:gridSpan w:val="3"/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Fahir</w:t>
            </w:r>
            <w:proofErr w:type="spellEnd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Bečić</w:t>
            </w:r>
            <w:proofErr w:type="spellEnd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, PhD, full professor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Nermina</w:t>
            </w:r>
            <w:proofErr w:type="spellEnd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Žiga-Smajić</w:t>
            </w:r>
            <w:proofErr w:type="spellEnd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, PhD, assistant professor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Belma</w:t>
            </w:r>
            <w:proofErr w:type="spellEnd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Pehlivanović</w:t>
            </w:r>
            <w:proofErr w:type="spellEnd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MPharm</w:t>
            </w:r>
            <w:proofErr w:type="spellEnd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, teaching and research assistant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Dina </w:t>
            </w:r>
            <w:proofErr w:type="spellStart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Lagumdžija</w:t>
            </w:r>
            <w:proofErr w:type="spellEnd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MPharm</w:t>
            </w:r>
            <w:proofErr w:type="spellEnd"/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, teaching and research assistant</w:t>
            </w:r>
          </w:p>
        </w:tc>
      </w:tr>
      <w:tr w:rsidR="002C7BDB" w:rsidRPr="00EC6A80" w:rsidTr="00E807D4">
        <w:trPr>
          <w:trHeight w:val="477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2C7BDB" w:rsidRPr="00EC6A80" w:rsidRDefault="002C7BDB" w:rsidP="00EC6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1. </w:t>
            </w: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objectives: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Introducing students to the basics needed for their future practical work as pharmacists, in terms of having adequate knowledge of special pharmacology for proper prescribing and control of drugs.</w:t>
            </w:r>
          </w:p>
        </w:tc>
      </w:tr>
      <w:tr w:rsidR="002C7BDB" w:rsidRPr="00EC6A80" w:rsidTr="00E807D4">
        <w:trPr>
          <w:trHeight w:val="3556"/>
          <w:jc w:val="center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:rsidR="002C7BDB" w:rsidRPr="00EC6A80" w:rsidRDefault="002C7BDB" w:rsidP="00EC6A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C6A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1.1. Curriculum:</w:t>
            </w:r>
          </w:p>
          <w:p w:rsidR="002C7BDB" w:rsidRPr="00EC6A80" w:rsidRDefault="002C7BDB" w:rsidP="00EC6A80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a) Lectures</w:t>
            </w:r>
            <w:r w:rsidRPr="00EC6A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7BDB" w:rsidRPr="00EC6A80" w:rsidRDefault="002C7BDB" w:rsidP="00EC6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Pharmacology of fixed-dose combinations. Pharmacology of fixed-dose combinations for the treatment of hypertension in adults. Pharmacology of fixed-dose combinations for the treatment of hypertension in children. Pharmacology of fixed</w:t>
            </w:r>
            <w:r w:rsidR="00D80AD9" w:rsidRPr="00EC6A80">
              <w:rPr>
                <w:rFonts w:ascii="Times New Roman" w:hAnsi="Times New Roman" w:cs="Times New Roman"/>
                <w:sz w:val="24"/>
                <w:szCs w:val="24"/>
              </w:rPr>
              <w:t>-dos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e combinations for the treatment of diabetes mellitus in adults. Pharmacology of fixed-dose combinations for the treatment of diabetes mellitus in children. Pharmacology of fixed-dose combinations for the treatment of bacterial infections. Pharmacology of highly variable drugs.</w:t>
            </w:r>
          </w:p>
          <w:p w:rsidR="002C7BDB" w:rsidRPr="00EC6A80" w:rsidRDefault="00C64B11" w:rsidP="00EC6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linical trial problems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during b</w:t>
            </w:r>
            <w:r w:rsidR="002C7BDB"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ioequivalence studies of highly variable drugs. Bioequivalence studies </w:t>
            </w:r>
            <w:r w:rsidR="00373BF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2C7BDB" w:rsidRPr="00EC6A80">
              <w:rPr>
                <w:rFonts w:ascii="Times New Roman" w:hAnsi="Times New Roman" w:cs="Times New Roman"/>
                <w:sz w:val="24"/>
                <w:szCs w:val="24"/>
              </w:rPr>
              <w:t>generic formulations</w:t>
            </w:r>
            <w:r w:rsidR="0037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FB" w:rsidRPr="00EC6A80">
              <w:rPr>
                <w:rFonts w:ascii="Times New Roman" w:hAnsi="Times New Roman" w:cs="Times New Roman"/>
                <w:sz w:val="24"/>
                <w:szCs w:val="24"/>
              </w:rPr>
              <w:t>of proton-pump inhibitor</w:t>
            </w:r>
            <w:r w:rsidR="00373B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C7BDB" w:rsidRPr="00EC6A80">
              <w:rPr>
                <w:rFonts w:ascii="Times New Roman" w:hAnsi="Times New Roman" w:cs="Times New Roman"/>
                <w:sz w:val="24"/>
                <w:szCs w:val="24"/>
              </w:rPr>
              <w:t>. Modified-release dosage forms. Oral contraceptives in small doses as highly variable drugs. Legal regulations for highly variable drugs. Monitoring of highly variable drugs.</w:t>
            </w:r>
          </w:p>
          <w:p w:rsidR="002C7BDB" w:rsidRPr="00EC6A80" w:rsidRDefault="002C7BDB" w:rsidP="00EC6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B" w:rsidRPr="00EC6A80" w:rsidRDefault="002C7BDB" w:rsidP="00EC6A80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C6A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b) Practical work:</w:t>
            </w:r>
          </w:p>
          <w:p w:rsidR="002C7BDB" w:rsidRPr="00EC6A80" w:rsidRDefault="00D80AD9" w:rsidP="00F724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Pharmacology of fixed-dose combinations (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Pharmacology of fixed-dose combinations for the treatment of</w:t>
            </w:r>
            <w:r w:rsidR="008F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hypertension in adults (case study). Pharmacology of fixed-dose combinations for the treatment of hypertension in children (case study). Pharmacology of fixed-dose combinations for the treatment of diabetes mellitus in adults (case study). Pharmacology of fixed-dose combinations for the treatment of diabetes mellitus in children (case study). Pharmacology of fixed-dose combinations for the treatment of bacterial infections (case study). 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Pharmacology of highly variable drugs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24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244A"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linical trial problems </w:t>
            </w:r>
            <w:r w:rsidR="00F7244A">
              <w:rPr>
                <w:rFonts w:ascii="Times New Roman" w:hAnsi="Times New Roman" w:cs="Times New Roman"/>
                <w:sz w:val="24"/>
                <w:szCs w:val="24"/>
              </w:rPr>
              <w:t>during b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ioequivalence studies of highly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variable drugs</w:t>
            </w:r>
            <w:r w:rsidR="00F7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(case study)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ioequivalence studies </w:t>
            </w:r>
            <w:r w:rsidR="00E87D3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generic formulation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E87D3F" w:rsidRPr="00EC6A80">
              <w:rPr>
                <w:rFonts w:ascii="Times New Roman" w:hAnsi="Times New Roman" w:cs="Times New Roman"/>
                <w:sz w:val="24"/>
                <w:szCs w:val="24"/>
              </w:rPr>
              <w:t>of p</w:t>
            </w:r>
            <w:r w:rsidR="00E87D3F">
              <w:rPr>
                <w:rFonts w:ascii="Times New Roman" w:hAnsi="Times New Roman" w:cs="Times New Roman"/>
                <w:sz w:val="24"/>
                <w:szCs w:val="24"/>
              </w:rPr>
              <w:t xml:space="preserve">roton-pump inhibitors 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(case study)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. Modified-release 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dosage forms (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Oral contraceptives in small doses as highly variable drugs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 (case study)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. Legal regulati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 for highly variable drugs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>. Monitoring of highly variable drugs</w:t>
            </w: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 (seminar)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7BDB" w:rsidRPr="00EC6A80" w:rsidTr="00E807D4">
        <w:trPr>
          <w:trHeight w:val="605"/>
          <w:jc w:val="center"/>
        </w:trPr>
        <w:tc>
          <w:tcPr>
            <w:tcW w:w="2689" w:type="dxa"/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1.2. </w:t>
            </w: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</w:tc>
        <w:tc>
          <w:tcPr>
            <w:tcW w:w="7796" w:type="dxa"/>
            <w:gridSpan w:val="3"/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Students are expected to gain skills and knowledge in contemporary theoretical propositions in the field of pharmacology as well as techniques and skills for experimental work.</w:t>
            </w:r>
          </w:p>
        </w:tc>
      </w:tr>
      <w:tr w:rsidR="002C7BDB" w:rsidRPr="00EC6A80" w:rsidTr="00E807D4">
        <w:trPr>
          <w:trHeight w:val="311"/>
          <w:jc w:val="center"/>
        </w:trPr>
        <w:tc>
          <w:tcPr>
            <w:tcW w:w="10485" w:type="dxa"/>
            <w:gridSpan w:val="4"/>
            <w:vAlign w:val="center"/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 </w:t>
            </w: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organization:</w:t>
            </w:r>
          </w:p>
        </w:tc>
      </w:tr>
      <w:tr w:rsidR="002C7BDB" w:rsidRPr="00EC6A80" w:rsidTr="00E807D4">
        <w:trPr>
          <w:trHeight w:val="605"/>
          <w:jc w:val="center"/>
        </w:trPr>
        <w:tc>
          <w:tcPr>
            <w:tcW w:w="2689" w:type="dxa"/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2.1. </w:t>
            </w: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 of the course:</w:t>
            </w:r>
          </w:p>
        </w:tc>
        <w:tc>
          <w:tcPr>
            <w:tcW w:w="5103" w:type="dxa"/>
            <w:gridSpan w:val="2"/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1. Lectures</w:t>
            </w:r>
            <w:r w:rsidR="00D840EC"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 </w:t>
            </w:r>
          </w:p>
          <w:p w:rsidR="002C7BDB" w:rsidRPr="00EC6A80" w:rsidRDefault="002C7BDB" w:rsidP="0063603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Practical work</w:t>
            </w:r>
            <w:r w:rsidR="0063603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, </w:t>
            </w:r>
            <w:r w:rsidR="00614DDB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case studies and seminars</w:t>
            </w:r>
          </w:p>
        </w:tc>
        <w:tc>
          <w:tcPr>
            <w:tcW w:w="2693" w:type="dxa"/>
            <w:vAlign w:val="center"/>
          </w:tcPr>
          <w:p w:rsidR="002C7BDB" w:rsidRPr="00EC6A80" w:rsidRDefault="007328F2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1. 5</w:t>
            </w:r>
            <w:r w:rsidR="002C7BDB"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0%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2. </w:t>
            </w:r>
            <w:r w:rsidR="007328F2"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5</w:t>
            </w: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0%</w:t>
            </w:r>
          </w:p>
        </w:tc>
      </w:tr>
      <w:tr w:rsidR="002C7BDB" w:rsidRPr="00EC6A80" w:rsidTr="00E807D4">
        <w:trPr>
          <w:trHeight w:val="605"/>
          <w:jc w:val="center"/>
        </w:trPr>
        <w:tc>
          <w:tcPr>
            <w:tcW w:w="2689" w:type="dxa"/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2.2. </w:t>
            </w:r>
            <w:r w:rsidRPr="00EC6A80">
              <w:rPr>
                <w:rFonts w:ascii="Times New Roman" w:hAnsi="Times New Roman" w:cs="Times New Roman"/>
                <w:b/>
                <w:sz w:val="24"/>
                <w:szCs w:val="24"/>
              </w:rPr>
              <w:t>Grading:</w:t>
            </w:r>
          </w:p>
        </w:tc>
        <w:tc>
          <w:tcPr>
            <w:tcW w:w="5103" w:type="dxa"/>
            <w:gridSpan w:val="2"/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1. Attendance and participation in classes 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Homeworks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lastRenderedPageBreak/>
              <w:t>3. Colloquiums, programs, seminars, presentations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4. First term (partial) exam (first colloquium)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5. Second term (partial) exam (second colloquium)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6. Final oral exam</w:t>
            </w:r>
          </w:p>
        </w:tc>
        <w:tc>
          <w:tcPr>
            <w:tcW w:w="2693" w:type="dxa"/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lastRenderedPageBreak/>
              <w:t>1. 5%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2. 10%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lastRenderedPageBreak/>
              <w:t>3. 10%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4. 20%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5. 20%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6. 35%</w:t>
            </w:r>
          </w:p>
        </w:tc>
      </w:tr>
      <w:tr w:rsidR="002C7BDB" w:rsidRPr="00EC6A80" w:rsidTr="00E807D4">
        <w:trPr>
          <w:trHeight w:val="312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lastRenderedPageBreak/>
              <w:t xml:space="preserve">3. </w:t>
            </w:r>
            <w:r w:rsidRPr="00EC6A80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</w:tr>
      <w:tr w:rsidR="002C7BDB" w:rsidRPr="00EC6A80" w:rsidTr="00E807D4">
        <w:trPr>
          <w:trHeight w:val="312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t>Mandatory:</w:t>
            </w:r>
          </w:p>
          <w:p w:rsidR="002C7BDB" w:rsidRPr="00EC6A80" w:rsidRDefault="002C7BDB" w:rsidP="00EC6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Rang, H.P., Dale, M.M., Ritter, J.M. and Moore, P.K. eds., (2009). Pharmacology. 7th ed. London: Churchill Livingstone.</w:t>
            </w: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</w:p>
          <w:p w:rsidR="002C7BDB" w:rsidRPr="00EC6A80" w:rsidRDefault="002C7BDB" w:rsidP="00EC6A8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EC6A8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t>Additional:</w:t>
            </w:r>
          </w:p>
          <w:p w:rsidR="002C7BDB" w:rsidRPr="00EC6A80" w:rsidRDefault="002C7BDB" w:rsidP="00EC6A80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hr-BA"/>
              </w:rPr>
            </w:pPr>
            <w:r w:rsidRPr="00EC6A80">
              <w:rPr>
                <w:rFonts w:ascii="Times New Roman" w:hAnsi="Times New Roman" w:cs="Times New Roman"/>
                <w:sz w:val="24"/>
                <w:szCs w:val="24"/>
              </w:rPr>
              <w:t>Katzung, B.G., Masters, S.B. and Trevor, A.J. eds., (2012). Basic and Clinical Pharmacology. 12th ed. New York: McGraw Hill.</w:t>
            </w:r>
          </w:p>
        </w:tc>
      </w:tr>
    </w:tbl>
    <w:p w:rsidR="002C7BDB" w:rsidRPr="00EC6A80" w:rsidRDefault="002C7BDB" w:rsidP="00EC6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BDB" w:rsidRPr="00EC6A80" w:rsidRDefault="002C7BDB" w:rsidP="00EC6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F5" w:rsidRPr="00EC6A80" w:rsidRDefault="00C30423" w:rsidP="00EC6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1F5" w:rsidRPr="00EC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6CE3"/>
    <w:multiLevelType w:val="hybridMultilevel"/>
    <w:tmpl w:val="6694C0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C0A9A"/>
    <w:multiLevelType w:val="hybridMultilevel"/>
    <w:tmpl w:val="49B2BB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TAwMTA1MbU0NjNR0lEKTi0uzszPAykwqQUArxjwNSwAAAA="/>
  </w:docVars>
  <w:rsids>
    <w:rsidRoot w:val="002C7BDB"/>
    <w:rsid w:val="000A0070"/>
    <w:rsid w:val="002C7BDB"/>
    <w:rsid w:val="00373BFB"/>
    <w:rsid w:val="00611F53"/>
    <w:rsid w:val="00614DDB"/>
    <w:rsid w:val="00636030"/>
    <w:rsid w:val="007328F2"/>
    <w:rsid w:val="00817F00"/>
    <w:rsid w:val="008F1219"/>
    <w:rsid w:val="00AA10D4"/>
    <w:rsid w:val="00C30423"/>
    <w:rsid w:val="00C64B11"/>
    <w:rsid w:val="00D80AD9"/>
    <w:rsid w:val="00D840EC"/>
    <w:rsid w:val="00E87D3F"/>
    <w:rsid w:val="00EC6A80"/>
    <w:rsid w:val="00EE0241"/>
    <w:rsid w:val="00F7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CA5BB-63DE-4C53-8B75-01D61F33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DB"/>
    <w:pPr>
      <w:spacing w:after="200" w:line="276" w:lineRule="auto"/>
    </w:pPr>
    <w:rPr>
      <w:rFonts w:ascii="Arial" w:eastAsia="Times New Roman" w:hAnsi="Arial" w:cs="Arial"/>
      <w:lang w:val="en-US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BDB"/>
    <w:pPr>
      <w:spacing w:after="0" w:line="240" w:lineRule="auto"/>
    </w:pPr>
    <w:rPr>
      <w:rFonts w:ascii="Arial" w:eastAsia="Times New Roman" w:hAnsi="Arial" w:cs="Arial"/>
      <w:lang w:val="en-US" w:eastAsia="hr-BA"/>
    </w:rPr>
  </w:style>
  <w:style w:type="paragraph" w:styleId="ListParagraph">
    <w:name w:val="List Paragraph"/>
    <w:basedOn w:val="Normal"/>
    <w:uiPriority w:val="34"/>
    <w:qFormat/>
    <w:rsid w:val="002C7B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Omerović</dc:creator>
  <cp:keywords/>
  <dc:description/>
  <cp:lastModifiedBy>User</cp:lastModifiedBy>
  <cp:revision>2</cp:revision>
  <dcterms:created xsi:type="dcterms:W3CDTF">2020-04-04T06:38:00Z</dcterms:created>
  <dcterms:modified xsi:type="dcterms:W3CDTF">2020-04-04T06:38:00Z</dcterms:modified>
</cp:coreProperties>
</file>