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5F" w:rsidRDefault="00607D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46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6"/>
        <w:gridCol w:w="783"/>
        <w:gridCol w:w="635"/>
        <w:gridCol w:w="2520"/>
        <w:gridCol w:w="789"/>
        <w:gridCol w:w="2368"/>
      </w:tblGrid>
      <w:tr w:rsidR="008E0711" w:rsidRPr="002F1348" w:rsidTr="00CD073A">
        <w:trPr>
          <w:trHeight w:val="89"/>
        </w:trPr>
        <w:tc>
          <w:tcPr>
            <w:tcW w:w="3789" w:type="dxa"/>
            <w:gridSpan w:val="4"/>
          </w:tcPr>
          <w:p w:rsidR="008E0711" w:rsidRPr="002F1348" w:rsidRDefault="00230D1B" w:rsidP="00C412EB">
            <w:pPr>
              <w:pStyle w:val="Default"/>
            </w:pPr>
            <w:r>
              <w:rPr>
                <w:b/>
                <w:bCs/>
              </w:rPr>
              <w:t>Course</w:t>
            </w:r>
            <w:r w:rsidR="008E0711" w:rsidRPr="002F1348">
              <w:rPr>
                <w:b/>
                <w:bCs/>
              </w:rPr>
              <w:t xml:space="preserve"> code</w:t>
            </w:r>
            <w:r w:rsidR="008E0711">
              <w:rPr>
                <w:b/>
                <w:bCs/>
              </w:rPr>
              <w:t>: FFS57</w:t>
            </w:r>
          </w:p>
        </w:tc>
        <w:tc>
          <w:tcPr>
            <w:tcW w:w="5677" w:type="dxa"/>
            <w:gridSpan w:val="3"/>
          </w:tcPr>
          <w:p w:rsidR="008E0711" w:rsidRPr="002F1348" w:rsidRDefault="00734A30" w:rsidP="00C412EB">
            <w:pPr>
              <w:pStyle w:val="Default"/>
            </w:pPr>
            <w:r>
              <w:rPr>
                <w:b/>
                <w:bCs/>
              </w:rPr>
              <w:t>Course</w:t>
            </w:r>
            <w:r w:rsidR="008E0711" w:rsidRPr="002F1348">
              <w:rPr>
                <w:b/>
                <w:bCs/>
              </w:rPr>
              <w:t xml:space="preserve">: </w:t>
            </w:r>
            <w:r w:rsidRPr="002F1348">
              <w:rPr>
                <w:b/>
                <w:bCs/>
              </w:rPr>
              <w:t xml:space="preserve">TOXICOLOGICAL CHEMISTRY </w:t>
            </w:r>
            <w:r w:rsidR="008E0711" w:rsidRPr="002F1348">
              <w:rPr>
                <w:b/>
                <w:bCs/>
              </w:rPr>
              <w:t>I</w:t>
            </w:r>
            <w:r w:rsidR="008E0711">
              <w:rPr>
                <w:b/>
                <w:bCs/>
              </w:rPr>
              <w:t>I</w:t>
            </w:r>
          </w:p>
        </w:tc>
      </w:tr>
      <w:tr w:rsidR="008E0711" w:rsidRPr="002F1348" w:rsidTr="00CD073A">
        <w:trPr>
          <w:trHeight w:val="205"/>
        </w:trPr>
        <w:tc>
          <w:tcPr>
            <w:tcW w:w="2365" w:type="dxa"/>
          </w:tcPr>
          <w:p w:rsidR="008E0711" w:rsidRPr="002F1348" w:rsidRDefault="008E0711" w:rsidP="00C412EB">
            <w:pPr>
              <w:pStyle w:val="Default"/>
            </w:pPr>
            <w:r w:rsidRPr="002F1348">
              <w:rPr>
                <w:b/>
                <w:bCs/>
              </w:rPr>
              <w:t xml:space="preserve">Level: Integrated study </w:t>
            </w:r>
          </w:p>
        </w:tc>
        <w:tc>
          <w:tcPr>
            <w:tcW w:w="1424" w:type="dxa"/>
            <w:gridSpan w:val="3"/>
          </w:tcPr>
          <w:p w:rsidR="008E0711" w:rsidRPr="002F1348" w:rsidRDefault="008E0711" w:rsidP="00C412EB">
            <w:pPr>
              <w:pStyle w:val="Default"/>
            </w:pPr>
            <w:r w:rsidRPr="002F1348">
              <w:rPr>
                <w:b/>
                <w:bCs/>
              </w:rPr>
              <w:t xml:space="preserve">Year: IV (Fourth) </w:t>
            </w:r>
          </w:p>
        </w:tc>
        <w:tc>
          <w:tcPr>
            <w:tcW w:w="3309" w:type="dxa"/>
            <w:gridSpan w:val="2"/>
          </w:tcPr>
          <w:p w:rsidR="008E0711" w:rsidRPr="002F1348" w:rsidRDefault="008E0711" w:rsidP="008E0711">
            <w:pPr>
              <w:pStyle w:val="Default"/>
            </w:pPr>
            <w:r w:rsidRPr="002F1348">
              <w:rPr>
                <w:b/>
                <w:bCs/>
              </w:rPr>
              <w:t>Semester: VII</w:t>
            </w:r>
            <w:r>
              <w:rPr>
                <w:b/>
                <w:bCs/>
              </w:rPr>
              <w:t>I</w:t>
            </w:r>
            <w:r w:rsidRPr="002F1348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eight</w:t>
            </w:r>
            <w:r w:rsidRPr="002F1348">
              <w:rPr>
                <w:b/>
                <w:bCs/>
              </w:rPr>
              <w:t xml:space="preserve">) </w:t>
            </w:r>
          </w:p>
        </w:tc>
        <w:tc>
          <w:tcPr>
            <w:tcW w:w="2368" w:type="dxa"/>
          </w:tcPr>
          <w:p w:rsidR="008E0711" w:rsidRPr="002F1348" w:rsidRDefault="008E0711" w:rsidP="00607D5F">
            <w:pPr>
              <w:pStyle w:val="Default"/>
            </w:pPr>
            <w:r w:rsidRPr="002F1348">
              <w:rPr>
                <w:b/>
                <w:bCs/>
              </w:rPr>
              <w:t xml:space="preserve">ECTS credits: </w:t>
            </w:r>
            <w:r w:rsidR="00607D5F">
              <w:rPr>
                <w:b/>
                <w:bCs/>
              </w:rPr>
              <w:t>5</w:t>
            </w:r>
            <w:r w:rsidRPr="002F1348">
              <w:rPr>
                <w:b/>
                <w:bCs/>
              </w:rPr>
              <w:t xml:space="preserve"> (f</w:t>
            </w:r>
            <w:r w:rsidR="00607D5F">
              <w:rPr>
                <w:b/>
                <w:bCs/>
              </w:rPr>
              <w:t>ive</w:t>
            </w:r>
            <w:r w:rsidRPr="002F1348">
              <w:rPr>
                <w:b/>
                <w:bCs/>
              </w:rPr>
              <w:t xml:space="preserve">) </w:t>
            </w:r>
          </w:p>
        </w:tc>
      </w:tr>
      <w:tr w:rsidR="008E0711" w:rsidRPr="002F1348" w:rsidTr="008C355D">
        <w:trPr>
          <w:trHeight w:val="533"/>
        </w:trPr>
        <w:tc>
          <w:tcPr>
            <w:tcW w:w="2371" w:type="dxa"/>
            <w:gridSpan w:val="2"/>
          </w:tcPr>
          <w:p w:rsidR="008E0711" w:rsidRPr="002F1348" w:rsidRDefault="008E0711" w:rsidP="00C412EB">
            <w:pPr>
              <w:pStyle w:val="Default"/>
            </w:pPr>
            <w:r w:rsidRPr="002F1348">
              <w:rPr>
                <w:b/>
                <w:bCs/>
              </w:rPr>
              <w:t>Status: Obligatory</w:t>
            </w:r>
          </w:p>
        </w:tc>
        <w:tc>
          <w:tcPr>
            <w:tcW w:w="3938" w:type="dxa"/>
            <w:gridSpan w:val="3"/>
          </w:tcPr>
          <w:p w:rsidR="008E0711" w:rsidRPr="00D17A7D" w:rsidRDefault="008E0711" w:rsidP="00C412EB">
            <w:pPr>
              <w:pStyle w:val="Default"/>
            </w:pPr>
            <w:r w:rsidRPr="00D17A7D">
              <w:rPr>
                <w:b/>
                <w:bCs/>
              </w:rPr>
              <w:t xml:space="preserve">Hours per week: </w:t>
            </w:r>
          </w:p>
          <w:p w:rsidR="008E0711" w:rsidRPr="00D17A7D" w:rsidRDefault="008E0711" w:rsidP="00C412EB">
            <w:pPr>
              <w:pStyle w:val="Default"/>
            </w:pPr>
            <w:r w:rsidRPr="00D17A7D">
              <w:rPr>
                <w:b/>
                <w:bCs/>
              </w:rPr>
              <w:t xml:space="preserve">LECTURES (L): </w:t>
            </w:r>
            <w:r>
              <w:rPr>
                <w:b/>
                <w:bCs/>
              </w:rPr>
              <w:t>2</w:t>
            </w:r>
            <w:r w:rsidRPr="00D17A7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two</w:t>
            </w:r>
            <w:r w:rsidRPr="00D17A7D">
              <w:rPr>
                <w:b/>
                <w:bCs/>
              </w:rPr>
              <w:t xml:space="preserve">) hours </w:t>
            </w:r>
          </w:p>
          <w:p w:rsidR="008E0711" w:rsidRPr="00D17A7D" w:rsidRDefault="008E0711" w:rsidP="00C412EB">
            <w:pPr>
              <w:pStyle w:val="Default"/>
            </w:pPr>
            <w:r w:rsidRPr="00D17A7D">
              <w:rPr>
                <w:b/>
                <w:bCs/>
              </w:rPr>
              <w:t xml:space="preserve">EXERCISES (E): </w:t>
            </w:r>
            <w:r>
              <w:rPr>
                <w:b/>
                <w:bCs/>
              </w:rPr>
              <w:t>3</w:t>
            </w:r>
            <w:r w:rsidRPr="00D17A7D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three</w:t>
            </w:r>
            <w:r w:rsidRPr="00D17A7D">
              <w:rPr>
                <w:b/>
                <w:bCs/>
              </w:rPr>
              <w:t>) hour</w:t>
            </w:r>
            <w:r w:rsidR="0074253A">
              <w:rPr>
                <w:b/>
                <w:bCs/>
              </w:rPr>
              <w:t>s</w:t>
            </w:r>
            <w:r w:rsidRPr="00D17A7D">
              <w:rPr>
                <w:b/>
                <w:bCs/>
              </w:rPr>
              <w:t xml:space="preserve"> </w:t>
            </w:r>
          </w:p>
          <w:p w:rsidR="008E0711" w:rsidRPr="00D17A7D" w:rsidRDefault="008E0711" w:rsidP="00C412EB">
            <w:pPr>
              <w:pStyle w:val="Default"/>
            </w:pPr>
            <w:r w:rsidRPr="00D17A7D">
              <w:rPr>
                <w:b/>
                <w:bCs/>
              </w:rPr>
              <w:t xml:space="preserve">SEMINARS (S): 1 (one) hour </w:t>
            </w:r>
          </w:p>
        </w:tc>
        <w:tc>
          <w:tcPr>
            <w:tcW w:w="3157" w:type="dxa"/>
            <w:gridSpan w:val="2"/>
          </w:tcPr>
          <w:p w:rsidR="008E0711" w:rsidRPr="00D17A7D" w:rsidRDefault="008E0711" w:rsidP="00C412EB">
            <w:pPr>
              <w:pStyle w:val="Default"/>
            </w:pPr>
            <w:r w:rsidRPr="00D17A7D">
              <w:rPr>
                <w:b/>
                <w:bCs/>
              </w:rPr>
              <w:t xml:space="preserve">Total hours per semester : </w:t>
            </w:r>
            <w:r>
              <w:rPr>
                <w:b/>
                <w:bCs/>
              </w:rPr>
              <w:t>90</w:t>
            </w:r>
            <w:r w:rsidRPr="00D17A7D">
              <w:rPr>
                <w:b/>
                <w:bCs/>
              </w:rPr>
              <w:t xml:space="preserve"> </w:t>
            </w:r>
          </w:p>
          <w:p w:rsidR="008E0711" w:rsidRPr="00D17A7D" w:rsidRDefault="008E0711" w:rsidP="00C412EB">
            <w:pPr>
              <w:pStyle w:val="Default"/>
            </w:pPr>
            <w:r w:rsidRPr="00D17A7D">
              <w:rPr>
                <w:b/>
                <w:bCs/>
              </w:rPr>
              <w:t>(L</w:t>
            </w:r>
            <w:r>
              <w:rPr>
                <w:b/>
                <w:bCs/>
              </w:rPr>
              <w:t>: 30</w:t>
            </w:r>
            <w:r w:rsidRPr="00D17A7D">
              <w:rPr>
                <w:b/>
                <w:bCs/>
              </w:rPr>
              <w:t>; E</w:t>
            </w:r>
            <w:r>
              <w:rPr>
                <w:b/>
                <w:bCs/>
              </w:rPr>
              <w:t>: 4</w:t>
            </w:r>
            <w:r w:rsidRPr="00D17A7D">
              <w:rPr>
                <w:b/>
                <w:bCs/>
              </w:rPr>
              <w:t xml:space="preserve">5; S: 15) </w:t>
            </w:r>
          </w:p>
        </w:tc>
      </w:tr>
      <w:tr w:rsidR="008E0711" w:rsidRPr="002F1348" w:rsidTr="00CD073A">
        <w:trPr>
          <w:trHeight w:val="830"/>
        </w:trPr>
        <w:tc>
          <w:tcPr>
            <w:tcW w:w="3789" w:type="dxa"/>
            <w:gridSpan w:val="4"/>
          </w:tcPr>
          <w:p w:rsidR="008E0711" w:rsidRPr="002F1348" w:rsidRDefault="008E0711" w:rsidP="00C412EB">
            <w:pPr>
              <w:pStyle w:val="Default"/>
            </w:pPr>
            <w:r w:rsidRPr="002F1348">
              <w:rPr>
                <w:b/>
                <w:bCs/>
              </w:rPr>
              <w:t xml:space="preserve">Academic staff: </w:t>
            </w:r>
          </w:p>
        </w:tc>
        <w:tc>
          <w:tcPr>
            <w:tcW w:w="5677" w:type="dxa"/>
            <w:gridSpan w:val="3"/>
          </w:tcPr>
          <w:p w:rsidR="008C1A22" w:rsidRPr="002F1348" w:rsidRDefault="008C1A22" w:rsidP="008C1A22">
            <w:pPr>
              <w:pStyle w:val="Default"/>
            </w:pPr>
            <w:r w:rsidRPr="002F1348">
              <w:t xml:space="preserve">Theoretical class: </w:t>
            </w:r>
          </w:p>
          <w:p w:rsidR="008C1A22" w:rsidRPr="002F1348" w:rsidRDefault="008C1A22" w:rsidP="008C1A22">
            <w:pPr>
              <w:pStyle w:val="Default"/>
            </w:pPr>
            <w:r w:rsidRPr="002F1348">
              <w:t xml:space="preserve">Prof. dr Miroslav Šober </w:t>
            </w:r>
          </w:p>
          <w:p w:rsidR="008C1A22" w:rsidRDefault="008C1A22" w:rsidP="008C1A22">
            <w:pPr>
              <w:pStyle w:val="Default"/>
            </w:pPr>
            <w:r>
              <w:t>Prof</w:t>
            </w:r>
            <w:r w:rsidRPr="002F1348">
              <w:t xml:space="preserve">. dr Aleksandra Marjanović </w:t>
            </w:r>
          </w:p>
          <w:p w:rsidR="008C1A22" w:rsidRPr="002F1348" w:rsidRDefault="008C1A22" w:rsidP="008C1A22">
            <w:pPr>
              <w:pStyle w:val="Default"/>
            </w:pPr>
            <w:r>
              <w:t>Doc. dr Elma Omeragić</w:t>
            </w:r>
          </w:p>
          <w:p w:rsidR="008C1A22" w:rsidRPr="002F1348" w:rsidRDefault="008C1A22" w:rsidP="008C1A22">
            <w:pPr>
              <w:pStyle w:val="Default"/>
            </w:pPr>
            <w:r w:rsidRPr="002F1348">
              <w:t xml:space="preserve">Practical class: </w:t>
            </w:r>
          </w:p>
          <w:p w:rsidR="008C1A22" w:rsidRDefault="008C1A22" w:rsidP="008C1A22">
            <w:pPr>
              <w:pStyle w:val="Default"/>
            </w:pPr>
            <w:r>
              <w:t>Prof. dr Aleksandra Marjanović</w:t>
            </w:r>
          </w:p>
          <w:p w:rsidR="008C1A22" w:rsidRDefault="008C1A22" w:rsidP="008C1A22">
            <w:pPr>
              <w:pStyle w:val="Default"/>
            </w:pPr>
            <w:r>
              <w:t>Doc. dr Elma Omeragić</w:t>
            </w:r>
          </w:p>
          <w:p w:rsidR="008E0711" w:rsidRPr="002F1348" w:rsidRDefault="008C1A22" w:rsidP="008C1A22">
            <w:pPr>
              <w:pStyle w:val="Default"/>
            </w:pPr>
            <w:r>
              <w:t>Ass. Aida Lugušić</w:t>
            </w:r>
          </w:p>
        </w:tc>
      </w:tr>
      <w:tr w:rsidR="008E0711" w:rsidRPr="002F1348" w:rsidTr="00CD073A">
        <w:trPr>
          <w:trHeight w:val="1293"/>
        </w:trPr>
        <w:tc>
          <w:tcPr>
            <w:tcW w:w="3789" w:type="dxa"/>
            <w:gridSpan w:val="4"/>
          </w:tcPr>
          <w:p w:rsidR="008E0711" w:rsidRPr="002F1348" w:rsidRDefault="008E0711" w:rsidP="00230D1B">
            <w:pPr>
              <w:pStyle w:val="Default"/>
            </w:pPr>
            <w:r w:rsidRPr="002F1348">
              <w:rPr>
                <w:b/>
                <w:bCs/>
              </w:rPr>
              <w:t xml:space="preserve">1. </w:t>
            </w:r>
            <w:r w:rsidR="00230D1B">
              <w:rPr>
                <w:b/>
                <w:bCs/>
              </w:rPr>
              <w:t>Course</w:t>
            </w:r>
            <w:r w:rsidRPr="002F1348">
              <w:rPr>
                <w:b/>
                <w:bCs/>
              </w:rPr>
              <w:t xml:space="preserve"> aims </w:t>
            </w:r>
          </w:p>
        </w:tc>
        <w:tc>
          <w:tcPr>
            <w:tcW w:w="5677" w:type="dxa"/>
            <w:gridSpan w:val="3"/>
          </w:tcPr>
          <w:p w:rsidR="008E0711" w:rsidRDefault="008E0711" w:rsidP="00C412EB">
            <w:pPr>
              <w:pStyle w:val="Default"/>
              <w:jc w:val="both"/>
            </w:pPr>
            <w:r>
              <w:t xml:space="preserve">Acquiring teoretical </w:t>
            </w:r>
            <w:r w:rsidR="00721C8A">
              <w:t xml:space="preserve">and practical </w:t>
            </w:r>
            <w:r>
              <w:t xml:space="preserve">knowledge related to </w:t>
            </w:r>
            <w:r w:rsidR="00721C8A">
              <w:t xml:space="preserve">specialized areas of toxicological chemistry, more specific poisons from II, III and IV group, that involve industrial solvents, metals and compounds of natural and synhtetic origin, including drugs. </w:t>
            </w:r>
            <w:r>
              <w:t xml:space="preserve">Learning about mechanisms of action, symptoms and treatment of </w:t>
            </w:r>
            <w:r w:rsidR="00721C8A">
              <w:t xml:space="preserve">acute, subchronic and chronic </w:t>
            </w:r>
            <w:r>
              <w:t xml:space="preserve">poisoning </w:t>
            </w:r>
            <w:r w:rsidR="00721C8A">
              <w:t xml:space="preserve">caused by these compounds, ways of their biotransformation and elimination, </w:t>
            </w:r>
            <w:r>
              <w:t xml:space="preserve">and also methods for determination </w:t>
            </w:r>
            <w:r w:rsidR="00721C8A">
              <w:t>of bio</w:t>
            </w:r>
            <w:r>
              <w:t xml:space="preserve">markers of exposure </w:t>
            </w:r>
            <w:r w:rsidR="00721C8A">
              <w:t xml:space="preserve">and effect </w:t>
            </w:r>
            <w:r>
              <w:t xml:space="preserve">for those </w:t>
            </w:r>
            <w:r w:rsidR="00721C8A">
              <w:t>compounds</w:t>
            </w:r>
            <w:r>
              <w:t xml:space="preserve"> in biological material</w:t>
            </w:r>
            <w:r w:rsidR="00721C8A">
              <w:t xml:space="preserve"> and environment</w:t>
            </w:r>
            <w:r>
              <w:t xml:space="preserve">. </w:t>
            </w:r>
          </w:p>
          <w:p w:rsidR="008E0711" w:rsidRPr="002F1348" w:rsidRDefault="008E0711" w:rsidP="00833FE8">
            <w:pPr>
              <w:pStyle w:val="Default"/>
              <w:jc w:val="both"/>
            </w:pPr>
            <w:r>
              <w:t xml:space="preserve">Aim of practical class is to acquire skills and competencies in </w:t>
            </w:r>
            <w:r w:rsidR="00833FE8">
              <w:t xml:space="preserve">preparation of different kind of samples for systematic and specific analysis of toxins from these groups, </w:t>
            </w:r>
            <w:r>
              <w:t xml:space="preserve">and also application of </w:t>
            </w:r>
            <w:r w:rsidR="00833FE8">
              <w:t>spectroscopic and separation methods for the analysis of most important representativs from the group of orag</w:t>
            </w:r>
            <w:r w:rsidR="00AF4CF5">
              <w:t>anic solvents, heavy metals, alk</w:t>
            </w:r>
            <w:r w:rsidR="00833FE8">
              <w:t xml:space="preserve">aloids and synthetic compounds, as well as their biomarkers in body fluids and environment. </w:t>
            </w:r>
          </w:p>
        </w:tc>
      </w:tr>
      <w:tr w:rsidR="008E0711" w:rsidRPr="002F1348" w:rsidTr="00C412EB">
        <w:trPr>
          <w:trHeight w:val="89"/>
        </w:trPr>
        <w:tc>
          <w:tcPr>
            <w:tcW w:w="9466" w:type="dxa"/>
            <w:gridSpan w:val="7"/>
          </w:tcPr>
          <w:p w:rsidR="008E0711" w:rsidRPr="002F1348" w:rsidRDefault="008E0711" w:rsidP="00230D1B">
            <w:pPr>
              <w:pStyle w:val="Default"/>
            </w:pPr>
            <w:r w:rsidRPr="002F1348">
              <w:rPr>
                <w:b/>
                <w:bCs/>
              </w:rPr>
              <w:t xml:space="preserve">1.1. Content of the </w:t>
            </w:r>
            <w:r w:rsidR="00230D1B">
              <w:rPr>
                <w:b/>
                <w:bCs/>
              </w:rPr>
              <w:t>course</w:t>
            </w:r>
          </w:p>
        </w:tc>
      </w:tr>
      <w:tr w:rsidR="008E0711" w:rsidRPr="002F1348" w:rsidTr="00C412EB">
        <w:trPr>
          <w:trHeight w:val="2110"/>
        </w:trPr>
        <w:tc>
          <w:tcPr>
            <w:tcW w:w="9466" w:type="dxa"/>
            <w:gridSpan w:val="7"/>
          </w:tcPr>
          <w:p w:rsidR="008E0711" w:rsidRPr="002F1348" w:rsidRDefault="008E0711" w:rsidP="00C412EB">
            <w:pPr>
              <w:pStyle w:val="Default"/>
            </w:pPr>
            <w:r w:rsidRPr="002F1348">
              <w:rPr>
                <w:b/>
                <w:bCs/>
              </w:rPr>
              <w:t xml:space="preserve">a) Theoretical class </w:t>
            </w:r>
          </w:p>
          <w:p w:rsidR="008E0711" w:rsidRPr="002F1348" w:rsidRDefault="00AF4CF5" w:rsidP="00C412EB">
            <w:pPr>
              <w:pStyle w:val="Default"/>
              <w:jc w:val="both"/>
            </w:pPr>
            <w:r>
              <w:t>Volatile compounds, organic solvents and industrial chemicals: solvents and halogenated solvents, carbon disulphide; heavy metals and metalloids: arsenic, mercury, lead, cadmium, thallium, nickel and manganese; Corosive</w:t>
            </w:r>
            <w:r w:rsidR="00A67616">
              <w:t xml:space="preserve"> mineral compounds: strong mineral acids and bases, anions; Synthetic acid and neutral compounds: salycilates, barbiturates, paracetamol, cardiotonic glycosides; Basic compounds of natural and synthetic origin: alkaloid of opium, cocaine, atropine, hyosciamine, strychnine, ergot alkaloids, benzodiazepines; Drugs and illicit compounds: amphetamines, designers drugs, cannabinoids, meskaline, psilocybin; Pesticides: classification, organochlorine insecticides, inhibitors of cholinesterase, pyrethroids, juvenile hormons, herbicides, rodenti</w:t>
            </w:r>
            <w:r w:rsidR="000A632C">
              <w:t xml:space="preserve">cides; Chemical warfare agents: </w:t>
            </w:r>
            <w:r w:rsidR="00A67616">
              <w:t>nerve, blister, pulmonary/choking, blood</w:t>
            </w:r>
            <w:r w:rsidR="00D8528B">
              <w:t xml:space="preserve">, incapacitating agents. </w:t>
            </w:r>
          </w:p>
        </w:tc>
      </w:tr>
      <w:tr w:rsidR="008E0711" w:rsidRPr="002F1348" w:rsidTr="00C412EB">
        <w:trPr>
          <w:trHeight w:val="1171"/>
        </w:trPr>
        <w:tc>
          <w:tcPr>
            <w:tcW w:w="9466" w:type="dxa"/>
            <w:gridSpan w:val="7"/>
          </w:tcPr>
          <w:p w:rsidR="008E0711" w:rsidRDefault="008E0711" w:rsidP="00C412EB">
            <w:pPr>
              <w:pStyle w:val="Default"/>
              <w:rPr>
                <w:b/>
                <w:bCs/>
              </w:rPr>
            </w:pPr>
            <w:r w:rsidRPr="002F1348">
              <w:rPr>
                <w:b/>
                <w:bCs/>
              </w:rPr>
              <w:lastRenderedPageBreak/>
              <w:t xml:space="preserve">b) Practical class (exercises) </w:t>
            </w:r>
          </w:p>
          <w:p w:rsidR="008E0711" w:rsidRPr="002F1348" w:rsidRDefault="000A632C" w:rsidP="006005B1">
            <w:pPr>
              <w:pStyle w:val="Default"/>
              <w:jc w:val="both"/>
            </w:pPr>
            <w:r>
              <w:t xml:space="preserve">Determination of aniline in urine; Determination of acetone in urine; Exposition to carbon disulphide; Fugiwara reaction on halogenated solvents; Mineralization of blood sample for arsenic detection; Gutzeit probe; Determination of mercury in flour; Mineralization of urine sample for determination of lead, determination of lead with ditizone;  Determination of nitrites in biological samples; Determination of p-aminophenol in urine; Spectrophotometric determination of salycilates in biological material; Qualitative probes for identification of alkaloids; determination of barbiturates in urine; Determination of p-nitrophenol in biological material; Demonstration of use DHM-11b kit for detection of chemical warfare agents in atmosphere. </w:t>
            </w:r>
          </w:p>
        </w:tc>
      </w:tr>
      <w:tr w:rsidR="008E0711" w:rsidRPr="002F1348" w:rsidTr="00CD073A">
        <w:trPr>
          <w:trHeight w:val="208"/>
        </w:trPr>
        <w:tc>
          <w:tcPr>
            <w:tcW w:w="3789" w:type="dxa"/>
            <w:gridSpan w:val="4"/>
          </w:tcPr>
          <w:p w:rsidR="008E0711" w:rsidRPr="002F1348" w:rsidRDefault="008E0711" w:rsidP="00C412EB">
            <w:pPr>
              <w:pStyle w:val="Default"/>
            </w:pPr>
            <w:r>
              <w:rPr>
                <w:b/>
                <w:bCs/>
              </w:rPr>
              <w:t>1.2</w:t>
            </w:r>
            <w:r w:rsidRPr="002F1348">
              <w:rPr>
                <w:b/>
                <w:bCs/>
              </w:rPr>
              <w:t xml:space="preserve">. Results  </w:t>
            </w:r>
          </w:p>
        </w:tc>
        <w:tc>
          <w:tcPr>
            <w:tcW w:w="5677" w:type="dxa"/>
            <w:gridSpan w:val="3"/>
          </w:tcPr>
          <w:p w:rsidR="008E0711" w:rsidRPr="002F1348" w:rsidRDefault="008E0711" w:rsidP="00CD073A">
            <w:pPr>
              <w:pStyle w:val="Default"/>
              <w:jc w:val="both"/>
            </w:pPr>
            <w:r>
              <w:t xml:space="preserve">Knowing the </w:t>
            </w:r>
            <w:r w:rsidR="002F0155">
              <w:t>posible sources and ways of exposure and poisoning with compounds that are classified as indu</w:t>
            </w:r>
            <w:r w:rsidR="00CD073A">
              <w:t xml:space="preserve">strial organic solvents, metals, </w:t>
            </w:r>
            <w:r w:rsidR="002F0155">
              <w:t xml:space="preserve">herbal or synthetic compounds, recognizing symptoms and signs of intoxication, first aid and treatment of poisoning, </w:t>
            </w:r>
            <w:r>
              <w:t xml:space="preserve">as well as </w:t>
            </w:r>
            <w:r w:rsidR="002F0155">
              <w:t xml:space="preserve">methods for detecting poisoning based on </w:t>
            </w:r>
            <w:r>
              <w:t xml:space="preserve">determination of </w:t>
            </w:r>
            <w:r w:rsidR="002F0155">
              <w:t xml:space="preserve">biomarkers of exposure and effect in biological material and samples from the environment. </w:t>
            </w:r>
          </w:p>
        </w:tc>
      </w:tr>
      <w:tr w:rsidR="008E0711" w:rsidRPr="002F1348" w:rsidTr="00C412EB">
        <w:trPr>
          <w:trHeight w:val="208"/>
        </w:trPr>
        <w:tc>
          <w:tcPr>
            <w:tcW w:w="946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5"/>
            </w:tblGrid>
            <w:tr w:rsidR="008E0711" w:rsidRPr="00723A50" w:rsidTr="00C412EB">
              <w:trPr>
                <w:trHeight w:val="88"/>
              </w:trPr>
              <w:tc>
                <w:tcPr>
                  <w:tcW w:w="5355" w:type="dxa"/>
                </w:tcPr>
                <w:p w:rsidR="008E0711" w:rsidRPr="00723A50" w:rsidRDefault="008E0711" w:rsidP="00C412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3A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Organization of classes</w:t>
                  </w:r>
                  <w:r w:rsidRPr="00723A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0711" w:rsidRPr="00723A50" w:rsidTr="00C412EB">
              <w:trPr>
                <w:trHeight w:val="279"/>
              </w:trPr>
              <w:tc>
                <w:tcPr>
                  <w:tcW w:w="5355" w:type="dxa"/>
                </w:tcPr>
                <w:p w:rsidR="008E0711" w:rsidRPr="00723A50" w:rsidRDefault="008E0711" w:rsidP="00C412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E0711" w:rsidRPr="002F1348" w:rsidRDefault="008E0711" w:rsidP="00C412EB">
            <w:pPr>
              <w:pStyle w:val="Default"/>
            </w:pPr>
          </w:p>
        </w:tc>
      </w:tr>
      <w:tr w:rsidR="008E0711" w:rsidRPr="002F1348" w:rsidTr="00C412EB">
        <w:trPr>
          <w:trHeight w:val="208"/>
        </w:trPr>
        <w:tc>
          <w:tcPr>
            <w:tcW w:w="9466" w:type="dxa"/>
            <w:gridSpan w:val="7"/>
          </w:tcPr>
          <w:p w:rsidR="008E0711" w:rsidRPr="002F1348" w:rsidRDefault="008E0711" w:rsidP="00C412EB">
            <w:pPr>
              <w:pStyle w:val="Default"/>
            </w:pPr>
            <w:r>
              <w:rPr>
                <w:b/>
                <w:bCs/>
                <w:i/>
                <w:iCs/>
              </w:rPr>
              <w:t>Description of activities</w:t>
            </w:r>
            <w:r w:rsidRPr="00723A50">
              <w:rPr>
                <w:b/>
                <w:bCs/>
                <w:i/>
                <w:iCs/>
              </w:rPr>
              <w:t xml:space="preserve"> (%)</w:t>
            </w:r>
          </w:p>
        </w:tc>
      </w:tr>
      <w:tr w:rsidR="008E0711" w:rsidRPr="002F1348" w:rsidTr="00C412EB">
        <w:trPr>
          <w:trHeight w:val="208"/>
        </w:trPr>
        <w:tc>
          <w:tcPr>
            <w:tcW w:w="3154" w:type="dxa"/>
            <w:gridSpan w:val="3"/>
          </w:tcPr>
          <w:p w:rsidR="008E0711" w:rsidRPr="002F1348" w:rsidRDefault="008E0711" w:rsidP="00C412EB">
            <w:pPr>
              <w:pStyle w:val="Default"/>
            </w:pPr>
            <w:r w:rsidRPr="002F1348">
              <w:rPr>
                <w:b/>
                <w:bCs/>
              </w:rPr>
              <w:t xml:space="preserve">2.1. </w:t>
            </w:r>
            <w:r>
              <w:rPr>
                <w:b/>
                <w:bCs/>
              </w:rPr>
              <w:t>Way of performing classes</w:t>
            </w:r>
            <w:r w:rsidRPr="002F1348">
              <w:rPr>
                <w:b/>
                <w:bCs/>
              </w:rPr>
              <w:t xml:space="preserve"> </w:t>
            </w:r>
          </w:p>
        </w:tc>
        <w:tc>
          <w:tcPr>
            <w:tcW w:w="3155" w:type="dxa"/>
            <w:gridSpan w:val="2"/>
          </w:tcPr>
          <w:p w:rsidR="008E0711" w:rsidRPr="002F1348" w:rsidRDefault="008E0711" w:rsidP="00C412EB">
            <w:pPr>
              <w:pStyle w:val="Default"/>
            </w:pPr>
            <w:r w:rsidRPr="002F1348">
              <w:t xml:space="preserve">1. </w:t>
            </w:r>
            <w:r>
              <w:t>lectures, all students in class</w:t>
            </w:r>
            <w:r w:rsidRPr="002F1348">
              <w:t xml:space="preserve"> </w:t>
            </w:r>
          </w:p>
          <w:p w:rsidR="008E0711" w:rsidRPr="002F1348" w:rsidRDefault="008E0711" w:rsidP="00C412EB">
            <w:pPr>
              <w:pStyle w:val="Default"/>
            </w:pPr>
            <w:r w:rsidRPr="002F1348">
              <w:t>2. Laborator</w:t>
            </w:r>
            <w:r>
              <w:t>y exercises and case study</w:t>
            </w:r>
            <w:r w:rsidRPr="002F1348">
              <w:t xml:space="preserve">, </w:t>
            </w:r>
          </w:p>
          <w:p w:rsidR="008E0711" w:rsidRPr="002F1348" w:rsidRDefault="008E0711" w:rsidP="00C412EB">
            <w:pPr>
              <w:pStyle w:val="Default"/>
            </w:pPr>
            <w:r w:rsidRPr="002F1348">
              <w:t xml:space="preserve">3. </w:t>
            </w:r>
            <w:r>
              <w:t>Public defense of seminars, coments and disscusion in class</w:t>
            </w:r>
            <w:r w:rsidRPr="002F1348">
              <w:t xml:space="preserve"> </w:t>
            </w:r>
          </w:p>
        </w:tc>
        <w:tc>
          <w:tcPr>
            <w:tcW w:w="3157" w:type="dxa"/>
            <w:gridSpan w:val="2"/>
          </w:tcPr>
          <w:p w:rsidR="008E0711" w:rsidRPr="002F1348" w:rsidRDefault="008E0711" w:rsidP="00C412EB">
            <w:pPr>
              <w:pStyle w:val="Default"/>
            </w:pPr>
            <w:r w:rsidRPr="002F1348">
              <w:t xml:space="preserve">1. </w:t>
            </w:r>
            <w:r w:rsidR="00F02CE1">
              <w:t>33,3</w:t>
            </w:r>
            <w:r w:rsidRPr="002F1348">
              <w:t xml:space="preserve"> % </w:t>
            </w:r>
          </w:p>
          <w:p w:rsidR="008E0711" w:rsidRPr="002F1348" w:rsidRDefault="008E0711" w:rsidP="00C412EB">
            <w:pPr>
              <w:pStyle w:val="Default"/>
            </w:pPr>
            <w:r w:rsidRPr="002F1348">
              <w:t xml:space="preserve">2. </w:t>
            </w:r>
            <w:r w:rsidR="00F02CE1">
              <w:t>5</w:t>
            </w:r>
            <w:r w:rsidRPr="002F1348">
              <w:t xml:space="preserve">0,0 % </w:t>
            </w:r>
          </w:p>
          <w:p w:rsidR="008E0711" w:rsidRPr="002F1348" w:rsidRDefault="00F02CE1" w:rsidP="00F02CE1">
            <w:pPr>
              <w:pStyle w:val="Default"/>
            </w:pPr>
            <w:r>
              <w:t>3. 16</w:t>
            </w:r>
            <w:r w:rsidR="008E0711" w:rsidRPr="002F1348">
              <w:t>,</w:t>
            </w:r>
            <w:r>
              <w:t>7</w:t>
            </w:r>
            <w:r w:rsidR="008E0711" w:rsidRPr="002F1348">
              <w:t xml:space="preserve"> % </w:t>
            </w:r>
          </w:p>
        </w:tc>
      </w:tr>
      <w:tr w:rsidR="008E0711" w:rsidRPr="002F1348" w:rsidTr="00C412EB">
        <w:trPr>
          <w:trHeight w:val="208"/>
        </w:trPr>
        <w:tc>
          <w:tcPr>
            <w:tcW w:w="9466" w:type="dxa"/>
            <w:gridSpan w:val="7"/>
          </w:tcPr>
          <w:p w:rsidR="008E0711" w:rsidRPr="002F1348" w:rsidRDefault="008E0711" w:rsidP="00C412EB">
            <w:pPr>
              <w:pStyle w:val="Default"/>
            </w:pPr>
            <w:r>
              <w:t>Components</w:t>
            </w:r>
            <w:r w:rsidRPr="002F1348">
              <w:t xml:space="preserve"> (%)</w:t>
            </w:r>
            <w:r>
              <w:t xml:space="preserve"> of grades</w:t>
            </w:r>
          </w:p>
        </w:tc>
      </w:tr>
      <w:tr w:rsidR="008E0711" w:rsidRPr="002F1348" w:rsidTr="00C412EB">
        <w:trPr>
          <w:trHeight w:val="208"/>
        </w:trPr>
        <w:tc>
          <w:tcPr>
            <w:tcW w:w="3154" w:type="dxa"/>
            <w:gridSpan w:val="3"/>
          </w:tcPr>
          <w:p w:rsidR="008E0711" w:rsidRPr="002F1348" w:rsidRDefault="008E0711" w:rsidP="00C412EB">
            <w:pPr>
              <w:pStyle w:val="Default"/>
            </w:pPr>
            <w:r w:rsidRPr="002F1348">
              <w:rPr>
                <w:b/>
                <w:bCs/>
              </w:rPr>
              <w:t xml:space="preserve">2.2. </w:t>
            </w:r>
            <w:r>
              <w:rPr>
                <w:b/>
                <w:bCs/>
              </w:rPr>
              <w:t>Grade description</w:t>
            </w:r>
            <w:r w:rsidRPr="002F1348">
              <w:rPr>
                <w:b/>
                <w:bCs/>
              </w:rPr>
              <w:t xml:space="preserve"> </w:t>
            </w:r>
          </w:p>
        </w:tc>
        <w:tc>
          <w:tcPr>
            <w:tcW w:w="3155" w:type="dxa"/>
            <w:gridSpan w:val="2"/>
          </w:tcPr>
          <w:p w:rsidR="008E0711" w:rsidRPr="002F1348" w:rsidRDefault="008E0711" w:rsidP="00C412EB">
            <w:pPr>
              <w:pStyle w:val="Default"/>
            </w:pPr>
            <w:r w:rsidRPr="002F1348">
              <w:t xml:space="preserve">1. </w:t>
            </w:r>
            <w:r>
              <w:t>Active participation and presence at theoretical classes</w:t>
            </w:r>
            <w:r w:rsidRPr="002F1348">
              <w:t xml:space="preserve"> </w:t>
            </w:r>
          </w:p>
          <w:p w:rsidR="008E0711" w:rsidRPr="002F1348" w:rsidRDefault="008E0711" w:rsidP="00C412EB">
            <w:pPr>
              <w:pStyle w:val="Default"/>
            </w:pPr>
            <w:r w:rsidRPr="002F1348">
              <w:t xml:space="preserve">2. </w:t>
            </w:r>
            <w:r>
              <w:t>Presence at practical classes</w:t>
            </w:r>
            <w:r w:rsidRPr="002F1348">
              <w:t xml:space="preserve"> </w:t>
            </w:r>
          </w:p>
          <w:p w:rsidR="008E0711" w:rsidRPr="002F1348" w:rsidRDefault="008E0711" w:rsidP="00C412EB">
            <w:pPr>
              <w:pStyle w:val="Default"/>
            </w:pPr>
            <w:r w:rsidRPr="002F1348">
              <w:t xml:space="preserve">3. </w:t>
            </w:r>
            <w:r>
              <w:t>Seminars</w:t>
            </w:r>
            <w:r w:rsidRPr="002F1348">
              <w:t xml:space="preserve"> </w:t>
            </w:r>
          </w:p>
          <w:p w:rsidR="008E0711" w:rsidRPr="002F1348" w:rsidRDefault="008E0711" w:rsidP="00C412EB">
            <w:pPr>
              <w:pStyle w:val="Default"/>
            </w:pPr>
            <w:r w:rsidRPr="002F1348">
              <w:t xml:space="preserve">4. </w:t>
            </w:r>
            <w:r>
              <w:t>Colloquia</w:t>
            </w:r>
            <w:r w:rsidRPr="002F1348">
              <w:t xml:space="preserve"> </w:t>
            </w:r>
          </w:p>
          <w:p w:rsidR="008E0711" w:rsidRPr="002F1348" w:rsidRDefault="008E0711" w:rsidP="00C412EB">
            <w:pPr>
              <w:pStyle w:val="Default"/>
            </w:pPr>
            <w:r w:rsidRPr="002F1348">
              <w:t xml:space="preserve">5. </w:t>
            </w:r>
            <w:r>
              <w:t>Teoretical exam (organized in form of two separate test)</w:t>
            </w:r>
          </w:p>
        </w:tc>
        <w:tc>
          <w:tcPr>
            <w:tcW w:w="3157" w:type="dxa"/>
            <w:gridSpan w:val="2"/>
          </w:tcPr>
          <w:p w:rsidR="008E0711" w:rsidRPr="002F1348" w:rsidRDefault="008E0711" w:rsidP="00C412EB">
            <w:pPr>
              <w:pStyle w:val="Default"/>
            </w:pPr>
            <w:r w:rsidRPr="002F1348">
              <w:t xml:space="preserve">1. 0-2,5 % </w:t>
            </w:r>
          </w:p>
          <w:p w:rsidR="008E0711" w:rsidRPr="002F1348" w:rsidRDefault="008E0711" w:rsidP="00C412EB">
            <w:pPr>
              <w:pStyle w:val="Default"/>
            </w:pPr>
            <w:r w:rsidRPr="002F1348">
              <w:t xml:space="preserve">2. 0-2,5 % </w:t>
            </w:r>
          </w:p>
          <w:p w:rsidR="008E0711" w:rsidRPr="002F1348" w:rsidRDefault="008E0711" w:rsidP="00C412EB">
            <w:pPr>
              <w:pStyle w:val="Default"/>
            </w:pPr>
            <w:r w:rsidRPr="002F1348">
              <w:t xml:space="preserve">3. 0-10 % </w:t>
            </w:r>
          </w:p>
          <w:p w:rsidR="008E0711" w:rsidRPr="002F1348" w:rsidRDefault="008E0711" w:rsidP="00C412EB">
            <w:pPr>
              <w:pStyle w:val="Default"/>
            </w:pPr>
            <w:r w:rsidRPr="002F1348">
              <w:t xml:space="preserve">4. 0-10 % </w:t>
            </w:r>
          </w:p>
          <w:p w:rsidR="008E0711" w:rsidRPr="002F1348" w:rsidRDefault="008E0711" w:rsidP="00C412EB">
            <w:pPr>
              <w:pStyle w:val="Default"/>
            </w:pPr>
            <w:r w:rsidRPr="002F1348">
              <w:t xml:space="preserve">5. 0-75 % </w:t>
            </w:r>
          </w:p>
          <w:p w:rsidR="008E0711" w:rsidRPr="002F1348" w:rsidRDefault="008E0711" w:rsidP="00C412EB">
            <w:pPr>
              <w:pStyle w:val="Default"/>
            </w:pPr>
          </w:p>
        </w:tc>
      </w:tr>
      <w:tr w:rsidR="008E0711" w:rsidRPr="002F1348" w:rsidTr="00C412EB">
        <w:trPr>
          <w:trHeight w:val="208"/>
        </w:trPr>
        <w:tc>
          <w:tcPr>
            <w:tcW w:w="9466" w:type="dxa"/>
            <w:gridSpan w:val="7"/>
          </w:tcPr>
          <w:p w:rsidR="008E0711" w:rsidRPr="002F1348" w:rsidRDefault="008E0711" w:rsidP="00C412EB">
            <w:pPr>
              <w:pStyle w:val="Default"/>
              <w:rPr>
                <w:color w:val="auto"/>
              </w:rPr>
            </w:pPr>
            <w:r w:rsidRPr="002F1348">
              <w:rPr>
                <w:color w:val="auto"/>
              </w:rPr>
              <w:t>3. LITERATUR</w:t>
            </w:r>
            <w:r>
              <w:rPr>
                <w:color w:val="auto"/>
              </w:rPr>
              <w:t>E</w:t>
            </w:r>
          </w:p>
          <w:p w:rsidR="008E0711" w:rsidRPr="002F1348" w:rsidRDefault="008E0711" w:rsidP="005045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Mandatory</w:t>
            </w:r>
            <w:r w:rsidRPr="002F1348">
              <w:rPr>
                <w:color w:val="auto"/>
              </w:rPr>
              <w:t>:</w:t>
            </w:r>
          </w:p>
          <w:p w:rsidR="008E0711" w:rsidRPr="002F1348" w:rsidRDefault="0050451E" w:rsidP="0050451E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>
              <w:rPr>
                <w:color w:val="auto"/>
              </w:rPr>
              <w:t>Toxicological chemistry-unpublished material</w:t>
            </w:r>
          </w:p>
          <w:p w:rsidR="008E0711" w:rsidRPr="002F1348" w:rsidRDefault="0050451E" w:rsidP="0050451E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>
              <w:rPr>
                <w:color w:val="auto"/>
              </w:rPr>
              <w:t>Practical guide for exercises in toxicological chemistry, unpublished material</w:t>
            </w:r>
          </w:p>
          <w:p w:rsidR="008E0711" w:rsidRPr="002F1348" w:rsidRDefault="008E0711" w:rsidP="00C412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Additional</w:t>
            </w:r>
            <w:r w:rsidRPr="002F1348">
              <w:rPr>
                <w:color w:val="auto"/>
              </w:rPr>
              <w:t>:</w:t>
            </w:r>
          </w:p>
          <w:p w:rsidR="008E0711" w:rsidRPr="002F1348" w:rsidRDefault="008E0711" w:rsidP="0050451E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2F1348">
              <w:rPr>
                <w:color w:val="auto"/>
              </w:rPr>
              <w:t>Flanagan, R.J., Taylor, A., Watson, I.D., Whelpton, R. Fundamentals of Analytical Toxicology, John Wiley and Sons, 2007.</w:t>
            </w:r>
          </w:p>
          <w:p w:rsidR="008E0711" w:rsidRPr="002F1348" w:rsidRDefault="008E0711" w:rsidP="0050451E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2F1348">
              <w:rPr>
                <w:color w:val="auto"/>
              </w:rPr>
              <w:t>Suzuki, O. and Watanabe, K. Drugs and Poisons in Humans – A Handbook of Practical Analysis. Springer-Verlag Berlin Heidelberg 2005</w:t>
            </w:r>
          </w:p>
          <w:p w:rsidR="00B2790B" w:rsidRPr="00B2790B" w:rsidRDefault="00B2790B" w:rsidP="0050451E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B2790B">
              <w:rPr>
                <w:color w:val="auto"/>
              </w:rPr>
              <w:t>Marrs, T.C., Maynard, R.L., Sidel, F,R, eds: Chemical Warefare Agents – Toxicology and Treatment, second edition. John Wiely and Sons, 2007</w:t>
            </w:r>
          </w:p>
          <w:p w:rsidR="00B2790B" w:rsidRDefault="00B2790B" w:rsidP="0050451E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B2790B">
              <w:rPr>
                <w:color w:val="auto"/>
              </w:rPr>
              <w:t>Olive, F.M. Designer Drugs. Chelsea House Publishers, 2004</w:t>
            </w:r>
          </w:p>
          <w:p w:rsidR="008E0711" w:rsidRPr="002F1348" w:rsidRDefault="008E0711" w:rsidP="00B2790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Web pages</w:t>
            </w:r>
          </w:p>
          <w:p w:rsidR="008E0711" w:rsidRPr="002F1348" w:rsidRDefault="008E0711" w:rsidP="0050451E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2F1348">
              <w:rPr>
                <w:color w:val="auto"/>
              </w:rPr>
              <w:lastRenderedPageBreak/>
              <w:t>Agency for Toxic Substances and Disease Registry http://www.atsdr.cdc.gov/toxprofiles/index.asp</w:t>
            </w:r>
          </w:p>
          <w:p w:rsidR="008E0711" w:rsidRDefault="008E0711" w:rsidP="0050451E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2F1348">
              <w:rPr>
                <w:color w:val="auto"/>
              </w:rPr>
              <w:t xml:space="preserve">US Environmental Protection Agency </w:t>
            </w:r>
            <w:hyperlink r:id="rId5" w:history="1">
              <w:r w:rsidR="00B2790B" w:rsidRPr="006B38AD">
                <w:rPr>
                  <w:rStyle w:val="Hyperlink"/>
                </w:rPr>
                <w:t>http://www.epa.gov/</w:t>
              </w:r>
            </w:hyperlink>
          </w:p>
          <w:p w:rsidR="00B2790B" w:rsidRPr="002F1348" w:rsidRDefault="00B2790B" w:rsidP="0050451E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B2790B">
              <w:rPr>
                <w:color w:val="auto"/>
              </w:rPr>
              <w:t>US Drug Enforcement Administration – Publications http://www.justice.gov/dea/pubs/publications.html</w:t>
            </w:r>
          </w:p>
        </w:tc>
      </w:tr>
    </w:tbl>
    <w:p w:rsidR="00C8736C" w:rsidRPr="002F1348" w:rsidRDefault="00C8736C">
      <w:pPr>
        <w:rPr>
          <w:rFonts w:ascii="Times New Roman" w:hAnsi="Times New Roman" w:cs="Times New Roman"/>
          <w:sz w:val="24"/>
          <w:szCs w:val="24"/>
        </w:rPr>
      </w:pPr>
    </w:p>
    <w:sectPr w:rsidR="00C8736C" w:rsidRPr="002F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D93"/>
    <w:multiLevelType w:val="hybridMultilevel"/>
    <w:tmpl w:val="D0443F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5D97"/>
    <w:multiLevelType w:val="hybridMultilevel"/>
    <w:tmpl w:val="8028DD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267D"/>
    <w:multiLevelType w:val="hybridMultilevel"/>
    <w:tmpl w:val="80A247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07B9"/>
    <w:multiLevelType w:val="hybridMultilevel"/>
    <w:tmpl w:val="E528B8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5717"/>
    <w:multiLevelType w:val="hybridMultilevel"/>
    <w:tmpl w:val="3C76C448"/>
    <w:lvl w:ilvl="0" w:tplc="E47C28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97295"/>
    <w:multiLevelType w:val="hybridMultilevel"/>
    <w:tmpl w:val="FDB6FA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286D"/>
    <w:multiLevelType w:val="hybridMultilevel"/>
    <w:tmpl w:val="766EE6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5273"/>
    <w:multiLevelType w:val="hybridMultilevel"/>
    <w:tmpl w:val="964A1E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23D25"/>
    <w:multiLevelType w:val="hybridMultilevel"/>
    <w:tmpl w:val="3E8283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22B85"/>
    <w:multiLevelType w:val="hybridMultilevel"/>
    <w:tmpl w:val="9316267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34E49"/>
    <w:multiLevelType w:val="hybridMultilevel"/>
    <w:tmpl w:val="31A854A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5518A"/>
    <w:multiLevelType w:val="hybridMultilevel"/>
    <w:tmpl w:val="ACC463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2121E"/>
    <w:multiLevelType w:val="hybridMultilevel"/>
    <w:tmpl w:val="693A76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2216"/>
    <w:multiLevelType w:val="hybridMultilevel"/>
    <w:tmpl w:val="A4D06A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008D1"/>
    <w:multiLevelType w:val="hybridMultilevel"/>
    <w:tmpl w:val="5EFC57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A1038"/>
    <w:multiLevelType w:val="hybridMultilevel"/>
    <w:tmpl w:val="C804CA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12647"/>
    <w:multiLevelType w:val="hybridMultilevel"/>
    <w:tmpl w:val="4ABC782C"/>
    <w:lvl w:ilvl="0" w:tplc="461858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240F2"/>
    <w:multiLevelType w:val="hybridMultilevel"/>
    <w:tmpl w:val="F02C6FF6"/>
    <w:lvl w:ilvl="0" w:tplc="461858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612E"/>
    <w:multiLevelType w:val="hybridMultilevel"/>
    <w:tmpl w:val="ED36EBD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E1CFF"/>
    <w:multiLevelType w:val="hybridMultilevel"/>
    <w:tmpl w:val="252C941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3"/>
  </w:num>
  <w:num w:numId="5">
    <w:abstractNumId w:val="17"/>
  </w:num>
  <w:num w:numId="6">
    <w:abstractNumId w:val="8"/>
  </w:num>
  <w:num w:numId="7">
    <w:abstractNumId w:val="0"/>
  </w:num>
  <w:num w:numId="8">
    <w:abstractNumId w:val="9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  <w:num w:numId="16">
    <w:abstractNumId w:val="14"/>
  </w:num>
  <w:num w:numId="17">
    <w:abstractNumId w:val="19"/>
  </w:num>
  <w:num w:numId="18">
    <w:abstractNumId w:val="1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6C"/>
    <w:rsid w:val="00015A31"/>
    <w:rsid w:val="000415D5"/>
    <w:rsid w:val="00085062"/>
    <w:rsid w:val="00086302"/>
    <w:rsid w:val="000A632C"/>
    <w:rsid w:val="000B4D71"/>
    <w:rsid w:val="000D6A50"/>
    <w:rsid w:val="001D2C6C"/>
    <w:rsid w:val="001D6BDC"/>
    <w:rsid w:val="001E210B"/>
    <w:rsid w:val="00213111"/>
    <w:rsid w:val="00230D1B"/>
    <w:rsid w:val="002F0155"/>
    <w:rsid w:val="002F1348"/>
    <w:rsid w:val="003A3E39"/>
    <w:rsid w:val="003E2ED7"/>
    <w:rsid w:val="004327EE"/>
    <w:rsid w:val="0049795D"/>
    <w:rsid w:val="004A701C"/>
    <w:rsid w:val="004B5146"/>
    <w:rsid w:val="004E29B0"/>
    <w:rsid w:val="0050451E"/>
    <w:rsid w:val="005F2C3B"/>
    <w:rsid w:val="006005B1"/>
    <w:rsid w:val="00607D5F"/>
    <w:rsid w:val="006240A9"/>
    <w:rsid w:val="0062727B"/>
    <w:rsid w:val="00635FA7"/>
    <w:rsid w:val="006871F3"/>
    <w:rsid w:val="006B67B7"/>
    <w:rsid w:val="00710483"/>
    <w:rsid w:val="00721C8A"/>
    <w:rsid w:val="00723A50"/>
    <w:rsid w:val="00734A30"/>
    <w:rsid w:val="0074253A"/>
    <w:rsid w:val="00751A09"/>
    <w:rsid w:val="00766C07"/>
    <w:rsid w:val="00770C57"/>
    <w:rsid w:val="008062DC"/>
    <w:rsid w:val="00826B4A"/>
    <w:rsid w:val="00833FE8"/>
    <w:rsid w:val="008C1A22"/>
    <w:rsid w:val="008C355D"/>
    <w:rsid w:val="008E0711"/>
    <w:rsid w:val="00941BCF"/>
    <w:rsid w:val="009553D1"/>
    <w:rsid w:val="009B62AA"/>
    <w:rsid w:val="00A67616"/>
    <w:rsid w:val="00A73581"/>
    <w:rsid w:val="00A83000"/>
    <w:rsid w:val="00AB2D49"/>
    <w:rsid w:val="00AF4CF5"/>
    <w:rsid w:val="00B213F6"/>
    <w:rsid w:val="00B2790B"/>
    <w:rsid w:val="00B560F2"/>
    <w:rsid w:val="00BF6A4B"/>
    <w:rsid w:val="00C237A7"/>
    <w:rsid w:val="00C32B8D"/>
    <w:rsid w:val="00C32E0F"/>
    <w:rsid w:val="00C412EB"/>
    <w:rsid w:val="00C64D4E"/>
    <w:rsid w:val="00C8736C"/>
    <w:rsid w:val="00CC3ED5"/>
    <w:rsid w:val="00CD073A"/>
    <w:rsid w:val="00D17A7D"/>
    <w:rsid w:val="00D8528B"/>
    <w:rsid w:val="00E5083B"/>
    <w:rsid w:val="00F02CE1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097D5-6B5E-46D7-BB61-57DAF9C1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FFSA</dc:creator>
  <cp:keywords/>
  <dc:description/>
  <cp:lastModifiedBy>User</cp:lastModifiedBy>
  <cp:revision>2</cp:revision>
  <dcterms:created xsi:type="dcterms:W3CDTF">2020-04-04T05:57:00Z</dcterms:created>
  <dcterms:modified xsi:type="dcterms:W3CDTF">2020-04-04T05:57:00Z</dcterms:modified>
</cp:coreProperties>
</file>